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001-15911</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187"/>
        </w:trPr>
        <w:tc>
          <w:tcPr>
            <w:tcW w:w="3220" w:type="dxa"/>
            <w:vAlign w:val="bottom"/>
            <w:tcBorders>
              <w:top w:val="single" w:sz="8" w:color="auto"/>
            </w:tcBorders>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4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2"/>
        </w:trPr>
        <w:tc>
          <w:tcPr>
            <w:tcW w:w="820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 Lawrenceville, NJ</w:t>
            </w:r>
          </w:p>
        </w:tc>
        <w:tc>
          <w:tcPr>
            <w:tcW w:w="304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08648-2311</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3220" w:type="dxa"/>
            <w:vAlign w:val="bottom"/>
          </w:tcPr>
          <w:p>
            <w:pPr>
              <w:spacing w:after="0"/>
              <w:rPr>
                <w:sz w:val="24"/>
                <w:szCs w:val="24"/>
                <w:color w:val="auto"/>
              </w:rPr>
            </w:pPr>
          </w:p>
        </w:tc>
        <w:tc>
          <w:tcPr>
            <w:tcW w:w="42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(609) 896-9100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220" w:type="dxa"/>
            <w:vAlign w:val="bottom"/>
          </w:tcPr>
          <w:p>
            <w:pPr>
              <w:spacing w:after="0"/>
              <w:rPr>
                <w:sz w:val="20"/>
                <w:szCs w:val="20"/>
                <w:color w:val="auto"/>
              </w:rPr>
            </w:pPr>
          </w:p>
        </w:tc>
        <w:tc>
          <w:tcPr>
            <w:tcW w:w="49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80" w:right="2540" w:hanging="3248"/>
        <w:spacing w:after="0" w:line="500"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June 2, 2026, Imunon,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b w:val="1"/>
          <w:bCs w:val="1"/>
          <w:i w:val="1"/>
          <w:iCs w:val="1"/>
          <w:color w:val="auto"/>
        </w:rPr>
        <w:t>Securities Purchase Agreement</w:t>
      </w:r>
      <w:r>
        <w:rPr>
          <w:rFonts w:ascii="Times New Roman" w:cs="Times New Roman" w:eastAsia="Times New Roman" w:hAnsi="Times New Roman"/>
          <w:sz w:val="18"/>
          <w:szCs w:val="18"/>
          <w:color w:val="auto"/>
        </w:rPr>
        <w:t>”) with Streeterville Capital, LLC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providing for the issuance and sale by the Company, and the purchase by the Investor, of (i) 250 shares (the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of the Company’s Series A Preferred Stock, par value $0.01 per share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at a price of $10,000 per share, for aggregate proceeds of $2,500,000; (ii) a Secured Promissory Note A-1 in an original principal amount of $2,720,000 (the “</w:t>
      </w:r>
      <w:r>
        <w:rPr>
          <w:rFonts w:ascii="Times New Roman" w:cs="Times New Roman" w:eastAsia="Times New Roman" w:hAnsi="Times New Roman"/>
          <w:sz w:val="18"/>
          <w:szCs w:val="18"/>
          <w:b w:val="1"/>
          <w:bCs w:val="1"/>
          <w:i w:val="1"/>
          <w:iCs w:val="1"/>
          <w:color w:val="auto"/>
        </w:rPr>
        <w:t>A-1 Note</w:t>
      </w:r>
      <w:r>
        <w:rPr>
          <w:rFonts w:ascii="Times New Roman" w:cs="Times New Roman" w:eastAsia="Times New Roman" w:hAnsi="Times New Roman"/>
          <w:sz w:val="18"/>
          <w:szCs w:val="18"/>
          <w:color w:val="auto"/>
        </w:rPr>
        <w:t>”); and (iii) a Secured Promissory Note B in an original principal amount of $5,000,000 (the “</w:t>
      </w:r>
      <w:r>
        <w:rPr>
          <w:rFonts w:ascii="Times New Roman" w:cs="Times New Roman" w:eastAsia="Times New Roman" w:hAnsi="Times New Roman"/>
          <w:sz w:val="18"/>
          <w:szCs w:val="18"/>
          <w:b w:val="1"/>
          <w:bCs w:val="1"/>
          <w:i w:val="1"/>
          <w:iCs w:val="1"/>
          <w:color w:val="auto"/>
        </w:rPr>
        <w:t>B Note</w:t>
      </w:r>
      <w:r>
        <w:rPr>
          <w:rFonts w:ascii="Times New Roman" w:cs="Times New Roman" w:eastAsia="Times New Roman" w:hAnsi="Times New Roman"/>
          <w:sz w:val="18"/>
          <w:szCs w:val="18"/>
          <w:color w:val="auto"/>
        </w:rPr>
        <w:t>” and together with the A-1 Note,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The transactions contemplated by the Securities Purchase Agreement (collectively,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closed on June 3, 2026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closing, the Company received $10,000,000 from the Investor, $5,000,000 of which was deposited into a bank account owned by a wholly-owned subsidiary of the Company as cash collateral for the Notes (the “</w:t>
      </w:r>
      <w:r>
        <w:rPr>
          <w:rFonts w:ascii="Times New Roman" w:cs="Times New Roman" w:eastAsia="Times New Roman" w:hAnsi="Times New Roman"/>
          <w:sz w:val="18"/>
          <w:szCs w:val="18"/>
          <w:b w:val="1"/>
          <w:bCs w:val="1"/>
          <w:i w:val="1"/>
          <w:iCs w:val="1"/>
          <w:color w:val="auto"/>
        </w:rPr>
        <w:t>Cash Collateral Account</w:t>
      </w:r>
      <w:r>
        <w:rPr>
          <w:rFonts w:ascii="Times New Roman" w:cs="Times New Roman" w:eastAsia="Times New Roman" w:hAnsi="Times New Roman"/>
          <w:sz w:val="18"/>
          <w:szCs w:val="18"/>
          <w:color w:val="auto"/>
        </w:rPr>
        <w:t>”). The obligations under the Notes are secured by substantially all of the assets of the Company, other than its intellectual property assets, and are guaranteed by certain of the Company’s subsidiaries. The Company intends to utilize the other $5,000,000 of proceeds from the closing of the Transaction, along with any proceeds later released from the Cash Collateral Account, for general corporate purposes, including research and development activities, capital expenditures and working capital. The Company agreed to pay the placement agents for the financing a fee of 7.0% of the gross proceeds received by the Company in connection with the Transaction.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aggregate outstanding balance of the A-1 Note or the aggregate number of outstanding Preferred Shares is reduced by $2,000,000 (or, if less than $2,000,000, the entire remaining outstanding balance of the A-1 Note), the Company will have the right to exchange up to $1,000,000, plus interest (or, if less than $1,000,000, the entire remaining amount of the B Note, or such other amount as the parties mutually agree), of the B Note for a new secured note in the same form and having the same terms as the A-1 Note (each, a “</w:t>
      </w:r>
      <w:r>
        <w:rPr>
          <w:rFonts w:ascii="Times New Roman" w:cs="Times New Roman" w:eastAsia="Times New Roman" w:hAnsi="Times New Roman"/>
          <w:sz w:val="18"/>
          <w:szCs w:val="18"/>
          <w:b w:val="1"/>
          <w:bCs w:val="1"/>
          <w:i w:val="1"/>
          <w:iCs w:val="1"/>
          <w:color w:val="auto"/>
        </w:rPr>
        <w:t>Note Exchange</w:t>
      </w:r>
      <w:r>
        <w:rPr>
          <w:rFonts w:ascii="Times New Roman" w:cs="Times New Roman" w:eastAsia="Times New Roman" w:hAnsi="Times New Roman"/>
          <w:sz w:val="18"/>
          <w:szCs w:val="18"/>
          <w:color w:val="auto"/>
        </w:rPr>
        <w:t>”). Upon the completion of each Note Exchange, an amount of cash equal to the amount of the B Note exchanged in such Note Exchange will be released from the Cash Collateral Account to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A-1 Note will bear interest at 8% per annum and will mature 18 months following the Closing Date. The B Note will bear interest at 5% per annum and will mature 18 months following the Closing Date. The Notes can be prepaid by the Company in whole or in part at any time, subject to a 10% prepayment premium on any principal amounts prepaid.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six months after the Closing Date, the Investor may redeem up to $250,000 of the principal amount of the A-1 Note each calendar month. In addition, on any trading day when the Company’s common stock trades at a price that is at least 15% greater than the “Minimum Price” as defined under Nasdaq Stock Market LLC Rule 5635(d), the Investor may redeem an additional principal amount of the Notes equal to 5% of the trading volume of the Company’s common stock on such trading day.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be subject to customary covenants while the Notes remain outstanding. The Notes also contain customary events of default, the occurrence of which would permit the Investor to accelerate the obligations under the Notes and exercise remedies against any collateral (including amounts on deposit in the Cash Collateral Account) or guarantees in respect of the Notes. In addition, following the occurrence of an event of default, the interest rate of each Note would increase to the lesser of 15% per year or the maximum rate permitted by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A-1 Note and B Note do not purport to be complete and are qualified in their entirety by reference to the full text of such documents, copies of which are filed as Exhibits 10.1, 10.2 and 10.3, respectively, to this Current Report on Form 8-K and are incorporated herein by reference. Each of the Securities Purchase Agreement, A-1 Note and B Note contains representations, warranties and other provisions that were made only for purposes of the applicable agreement and as of specific dates, are solely for the benefit of the parties thereto, and may be subject to limitations agreed upon by such parties.</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the first two paragraphs of Item 1.01 is incorporated into this Item 3.02 by reference.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Preferred Shares were issued pursuant to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June 1, 2026, the Company filed a certificate of designation of preferences and rights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of the Series A Preferred Stock with the Secretary of State of the State of Delaware, designating 400 shares of Series A Preferred Stock, which became effective upon filing.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Each share of Series A Preferred Stock has a stated value of $12,000 (the “</w:t>
      </w:r>
      <w:r>
        <w:rPr>
          <w:rFonts w:ascii="Times New Roman" w:cs="Times New Roman" w:eastAsia="Times New Roman" w:hAnsi="Times New Roman"/>
          <w:sz w:val="18"/>
          <w:szCs w:val="18"/>
          <w:b w:val="1"/>
          <w:bCs w:val="1"/>
          <w:i w:val="1"/>
          <w:iCs w:val="1"/>
          <w:color w:val="auto"/>
        </w:rPr>
        <w:t>Stated Value</w:t>
      </w:r>
      <w:r>
        <w:rPr>
          <w:rFonts w:ascii="Times New Roman" w:cs="Times New Roman" w:eastAsia="Times New Roman" w:hAnsi="Times New Roman"/>
          <w:sz w:val="18"/>
          <w:szCs w:val="18"/>
          <w:color w:val="auto"/>
        </w:rPr>
        <w:t>”) and accrues from the date of issuance a return of 8% per year, payable in cash or via the issuance of additional shares of Series A Preferred Stock (the “</w:t>
      </w:r>
      <w:r>
        <w:rPr>
          <w:rFonts w:ascii="Times New Roman" w:cs="Times New Roman" w:eastAsia="Times New Roman" w:hAnsi="Times New Roman"/>
          <w:sz w:val="18"/>
          <w:szCs w:val="18"/>
          <w:b w:val="1"/>
          <w:bCs w:val="1"/>
          <w:i w:val="1"/>
          <w:iCs w:val="1"/>
          <w:color w:val="auto"/>
        </w:rPr>
        <w:t>Preferred Return</w:t>
      </w:r>
      <w:r>
        <w:rPr>
          <w:rFonts w:ascii="Times New Roman" w:cs="Times New Roman" w:eastAsia="Times New Roman" w:hAnsi="Times New Roman"/>
          <w:sz w:val="18"/>
          <w:szCs w:val="18"/>
          <w:color w:val="auto"/>
        </w:rPr>
        <w:t>”). The Series A Preferred Stock is not convertible into shares of common stock or any other class or series of stock of the Company.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Certificate of Designation, at any time the Company may elect to redeem all or any portion of the Series A Preferred Stock then issued and outstanding from all of the holders of Series A Preferred Stock (a “</w:t>
      </w:r>
      <w:r>
        <w:rPr>
          <w:rFonts w:ascii="Times New Roman" w:cs="Times New Roman" w:eastAsia="Times New Roman" w:hAnsi="Times New Roman"/>
          <w:sz w:val="18"/>
          <w:szCs w:val="18"/>
          <w:b w:val="1"/>
          <w:bCs w:val="1"/>
          <w:i w:val="1"/>
          <w:iCs w:val="1"/>
          <w:color w:val="auto"/>
        </w:rPr>
        <w:t>Corporation Optional Redemption</w:t>
      </w:r>
      <w:r>
        <w:rPr>
          <w:rFonts w:ascii="Times New Roman" w:cs="Times New Roman" w:eastAsia="Times New Roman" w:hAnsi="Times New Roman"/>
          <w:sz w:val="18"/>
          <w:szCs w:val="18"/>
          <w:color w:val="auto"/>
        </w:rPr>
        <w:t>”) by paying to such holders an amount in cash equal to the Series A Preferred Liquidation Amount (as defined in the Certificate of Designation) then applicable to the shares of Series A Preferred Stock being redeemed, multiplied by 110%.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be subject to customary covenants while any shares of Series A Preferred Stock remain outstanding. The Certificate of Designation also contains certain events of default, the occurrence of which would permit holders of Series A Preferred Stock, by action of at least a majority of such holders, to redeem all of the issued and outstanding shares of Series A Preferred Stock then held by such holders. In addition, following the occurrence of an event of default, the Preferred Return would increase by 15% per year, which may be applied in respect of up to three separate events of default.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Series A Preferred Stock confers no voting rights on holders, except with respect to matters that materially and adversely affect the voting powers, rights or preferences of the Series A Preferred Stock or as otherwise required by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Series A Preferred Stock does not purport to be complete and is qualified in its entirety by reference to the full text of the Certificate of Designation, a copy of which is filed as Exhibit 3.1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the closing of the Transaction. A copy of the press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hereto, is being furnished and shall not be deemed “filed” for purposes of Section 18 of the Securities Exchange Act of 1934, as amended, or otherwise subject to the liabilities of that Section or Sections 11 and 12(a)(2) of the Securities Act. Such information shall not be incorporated by reference into any filing with the Securities and Exchange Commission made by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0000EE"/>
        </w:rPr>
        <w:t>Certificate of Designation of Preferences and Rights of Series A Preferred Stock.</w:t>
      </w:r>
    </w:p>
    <w:p>
      <w:pPr>
        <w:spacing w:after="0" w:line="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Securities Purchase Agreement dated June 2, 2026, by and between the Company and Streeterville Capital, LLC.</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Secured Promissory Note A-1 dated June 2, 2026, made by the Company in favor of Streeterville Capital, LLC.</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Secured Promissory Note B dated June 2, 2026, made by the Company in favor of Streeterville Capital, LLC.</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4, 2026.</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 the Inline XBRL document).</w:t>
      </w:r>
    </w:p>
    <w:p>
      <w:pPr>
        <w:spacing w:after="0" w:line="207" w:lineRule="exact"/>
        <w:rPr>
          <w:sz w:val="20"/>
          <w:szCs w:val="20"/>
          <w:color w:val="auto"/>
        </w:rPr>
      </w:pPr>
    </w:p>
    <w:p>
      <w:pPr>
        <w:ind w:firstLine="8"/>
        <w:spacing w:after="0" w:line="282" w:lineRule="auto"/>
        <w:tabs>
          <w:tab w:leader="none" w:pos="1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The Company agrees to furnish a copy of the omitted schedules and exhibits to the Securities and Exchange Commission on a supplemental basis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Church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 OF PREFERENCES AND RIGHTS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Imunon,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Pursuant to Section 151 of the Delaware General Corporation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Stacy R. Lindborg, hereby certifies that:</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 is the duly elected Chief Executive Officer of Imunon, Inc., a Delaware corporation (“Corporation”).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adopted and approved by the Board of Directors of the Corporation by unanimous written consent on May 29, 2026 authorizing and approving the Certificate of Designation of Preferences and Rights of Series A Preferred Stock of the Corporation set forth below.</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Series A Preferred Stock have been issued as of the date hereof.</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does hereby execute this Certificate, and does hereby acknowledge that this instrument constitutes her act and deed and that the facts stated herein are true.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Imunon, Inc.</w:t>
      </w:r>
    </w:p>
    <w:p>
      <w:pPr>
        <w:spacing w:after="0" w:line="2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18415</wp:posOffset>
            </wp:positionV>
            <wp:extent cx="3137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Stacy R. Lindborg</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CERTIFICATE OF DESIGNATION OF PREFERENCES AND RIGHTS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Imunon,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Chief Executive Officer of Imunon, Inc. (“Corporation”), a corporation organized and existing under the laws of the State of Delaware, does hereby certify that, pursuant to the authority contained in the Corporation’s Certificate of Incorporation (“Certificate”) and pursuant to Section 151 of the Delaware General Corporation Law, and in accordance with the provisions of the resolution creating a series of the class of the Corporation’s authorized preferred stock designated as the Series A Preferred Stock as follows: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FIRST: The Certificate, as amended, authorizes the issuance by the Corporation of 350,000,000 shares of common stock, par value of $0.01 per share (“Common Stock”) and 100,000 shares of preferred stock, par value of $0.01 per share (“Preferred Stock”), and further, authorizes the Board of Directors (“Board”) of the Corporation, by resolution or resolutions, at any time and from time to time, to divide and establish any or all of the unissued shares of Preferred Stock not then allocated to any series into one or more series and to designate the rights, preferences and limitations of each series.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By unanimous written consent of the Board dated May 29, 2026, the Board designated four hundred (400) shares of the Preferred Stock as Series A Preferred Stock, par value $0.01 per share, pursuant to a resolution providing that a series of Preferred Stock of the Corporation be and hereby is created and that the designation and number of shares thereof and the voting and other powers, preferences and relative, participating, optional or other rights of the shares of such Series A Preferred Stock, and the qualifications, limitations and restrictions thereof, are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shall have meanings set forth in Section 13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Powers and Rights of Series A Preferred Stock</w:t>
      </w:r>
      <w:r>
        <w:rPr>
          <w:rFonts w:ascii="Times New Roman" w:cs="Times New Roman" w:eastAsia="Times New Roman" w:hAnsi="Times New Roman"/>
          <w:sz w:val="18"/>
          <w:szCs w:val="18"/>
          <w:color w:val="auto"/>
        </w:rPr>
        <w:t>. There is hereby designated a class of Preferred Stock of the Corporation as the Series A Preferred Stock, par value $0.01 per share, of the Corporation (the “Series A Stock”). The number of shares, powers, terms, conditions, designations, preferences and privileges, relative, participating, optional and other special rights, and qualifications, limitations and restrictions of the Series A Stock shall be as set forth in this Certificate of Designation of Preferences and Rights of Series A Stock (this “Certificate of Designation”). For purposes hereof, a holder of a share or shares of Series A Stock, with respect to their rights as related to the Series A Stock, shall be referred to as a “Series A Holder.”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Number and Stated Value</w:t>
      </w:r>
      <w:r>
        <w:rPr>
          <w:rFonts w:ascii="Times New Roman" w:cs="Times New Roman" w:eastAsia="Times New Roman" w:hAnsi="Times New Roman"/>
          <w:sz w:val="18"/>
          <w:szCs w:val="18"/>
          <w:color w:val="auto"/>
        </w:rPr>
        <w:t>. The number of authorized shares of the Series A Stock is four hundred (400) shares. Each share of Series A Stock shall have a stated value of $12,000.00 (the “Stated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Except to the extent that the holders of at least a majority of the outstanding Series A Stock (the “Required Holders”) expressly consent to the creation of Parity Stock (as defined below) or Senior Preferred Stock (as defined below), all shares of capital stock of the Corporation shall be junior in rank to all Series A Stock with respect to the preferences as to dividends, distributions and payments upon the liquidation, dissolution and winding up of the Corporation (such junior stock is referred to herein collectively as “Junior Stock”). The rights of all such shares of capital stock of the Corporation shall be qualified by the rights, powers, preferences and privileges of the Series A Stock. Without limiting any other provision of this Certificate of Designation, without the prior written consent of the Required Holders, voting separately as a single class, the Corporation shall not hereafter authorize or issue any additional or other shares of capital stock that is (i) of senior rank to the Series A Stock in respect of the preferences as to dividends, distributions and payments upon the liquidation, dissolution and winding up of the Corporation (collectively, the “Senior Preferred Stock”), or (ii) of pari passu rank to the Series A Stock in respect of the preferences as to dividends, distributions and payments upon the liquidation, dissolution and winding up of the Corporation (collectively, the “Parity Stock”). In the event of the merger or consolidation of the Corporation with or into another corporation wherein the Corporation is the surviving entity, the shares of Series A Stock shall maintain their relative rights, powers, designations, privileges and preferences provided for herein and no such merger or consolidation shall provide for a result inconsistent therewith, subject to the other terms and conditions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Preferred Return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A Stock shall accrue a rate of return on the Stated Value at the rate of eight percent (8%) per annum, to be determined pro rata for any fractional year periods (the “Preferred Return”). The Preferred Return shall accrue on each share of Series A Stock from the Issuance Date of such share, and shall be payable or otherwise settled as set forth herein. Following the occurrence of an Event of Default (as defined below), the Preferred Return will increase to the lesser of fifteen percent (15%) per annum or the maximum rate permitted under applicable law.</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Return shall compound daily and be payable on a quarterly basis, within five (5) Business Days following the end of each calendar quarter, either in cash or via the issuance to the applicable Series A Holder of an additional number of shares of Series A Stock equal to (i) the Preferred Return then accrued and unpaid, divided by (ii) the $10,000 per share purchase price for the Series A Stock, with the election as to payment in cash or via the issuance of additional shares of Series A Stock to be determined in the discretion of the Corporation.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elects to pay any Preferred Return via the issuance of shares of Series A Stock, no fractional shares of Series A Stock shall be issued, and the Corporation shall pay in cash the portion of such Preferred Return that would otherwise be payable via the issuance of a fractional share of Series A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In the event of any voluntary or involuntary liquidation, dissolution or winding up of the Corporation, each share of Series A Stock shall be entitled to be paid out of the assets of the Corporation available for distribution to its stockholders, before any payment shall be made to the holders of Common Stock by reason of their ownership thereof, an amount per share of Series A Stock equal to the Stated Value at such time plus any accrued but unpaid Preferred Return (as applicable, the “Series A Preferred Liquidation Amount”). If upon any such liquidation, dissolution or winding up of the Corporation, the assets of the Corporation available for distribution to its stockholders shall be insufficient to pay the Series A Preferred Liquidation Amount, the Series A Holders with respect to their shares of Series A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Following the payment of the Series A Preferred Liquidation Amount, if there are any remaining assets of the Corporation available for distribution to its stockholders, the Series A Stock shall not participate in such distributions.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 Conversions.</w:t>
      </w:r>
      <w:r>
        <w:rPr>
          <w:rFonts w:ascii="Times New Roman" w:cs="Times New Roman" w:eastAsia="Times New Roman" w:hAnsi="Times New Roman"/>
          <w:sz w:val="18"/>
          <w:szCs w:val="18"/>
          <w:color w:val="auto"/>
        </w:rPr>
        <w:t xml:space="preserve"> The Series A Stock shall not be convertible into shares of Common Stock or into any other class or series of stock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Corporation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at any time the Corporation may elect, in the sole discretion of the Board, to redeem all or any portion of the Series A Stock then issued and outstanding from all of the Series A Holders (a “Corporation Optional Redemption”) by paying to the applicable Series A Holders an amount in cash equal to the Series A Preferred Liquidation Amount then applicable to such shares of Series A Stock being redeemed in the Corporation Optional Redemption multiplied by one hundred ten percent (110%) (the “Redemption Price”). For the avoidance of doubt, any redemption made in connection with a Fundamental Transaction will be made at the Redemption Price.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provide written notice of any Corporation Optional Redemption to the Series A Holder(s) within five (5) Business Days following the determination of the Board to consummate the applicable Corporation Optional Redemption, and thereafter such Corporation Optional Redemption shall be completed within five (5) Business Days following the delivery of such notice, and at such time the Corporation shall deliver to the Series A Holder(s) the Redemption Price in valid funds. Each Series A Holder agrees to execute and deliver to the Corporation such instruments and documents, and to take such actions, as reasonably required to consummate the Corporation Optional Redemption.</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The Series A Stock shall not participate in any dividends, distributions or payments to the holders of the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Vote;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Section 10(b), the Series A Stock shall not have any voting rights and shall not vote on any matter submitted to the holders of the Common Stock, or any class thereof, for a vote.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may not, and shall not, amend or repeal this Certificate of Designation without the prior written consent of Series A Holders holding a majority of the Series A Stock then issued and outstanding, in which vote each share of Series A Stock then issued and outstanding shall have one vote, voting separately as a single class, in person or by proxy, either in writing without a meeting or at an annual or a special meeting of such Series A Holders, and any such act or transaction entered into without such vote or consent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such time as no shares of Series A Stock remain outstanding, the Corporation and any subsidiary (to the extent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at all times comply with the following covenants:</w:t>
      </w:r>
    </w:p>
    <w:p>
      <w:pPr>
        <w:spacing w:after="0" w:line="207"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timely file on the applicable deadline all reports required to be filed with the SEC pursuant to Sections 13 or 15(d) of the Exchange Act, and will take all reasonable action under its control to ensure that adequate current public information with respect to the Corporation, as required in accordance with Rule 144 of the Securities Act, is publicly available, and will not terminate its status as an issuer required to file reports under the Exchange Act even if the Exchange Act or the rules and regulations thereunder would permit such termination.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cause the Common Stock to be listed or quoted for trading on any of NYSE, NYSE American or Nasdaq.</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issue any new shares of Series A Stock to anyone other than the initial holder of Series A Stock without the prior written consent of the Required Holders, which consent may be granted or withheld in the Required Holders’ sole and absolute discretion.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increase the authorized shares of Common Stock or Preferred Stock without the prior written consent of the Required Holders, which consent may be granted or withheld in the Required Holders’ sole and absolute discretion.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ensure that trading in the Common Stock will not be suspended, halted, chilled, frozen, reach zero bid or otherwise cease trading on the Corporation’s principal trading market.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make any Restricted Issuance without the Required Holders’ prior written consent, which consent may be granted or withheld in the Required Holders’ sole and absolute discretion.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enter into any agreement or otherwise agree to any covenant, condition, or obligation that locks up, restricts in any way or otherwise prohibits the Corporation (i) from entering into a variable rate transaction with any Series A Holder or any Affiliate of any Series A Holder, or (ii) from issuing Common Stock, Preferred Stock, warrants, convertible notes, other debt securities, or any other of the Corporation’s securities to any Series A Holder or any Affiliate of any Series A Holder.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Permitted Liens, the Corporation will not pledge or grant a security interest in any of its assets without the Required Holders’ prior written consent, which consent may be granted or withheld in the Required Holders’ sole and absolute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and will not enter into any agreement or commitment to, dispose of any assets or operations that are material to the Corporation’s operations without the Required Holders’ prior written consent, which consent may be granted or withheld in the Required Holders’ sole and absolute discretion.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and will not enter into any agreement or commitment to, undertake or complete any reverse split of the Common Stock or any class of Preferred Stock without the Required Holders’ prior written consent, which consent may be granted or withheld in the Required Holders’ sole and absolute discretion. Such consent may not be unreasonably withheld.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and will not enter into any agreement or commitment to, create, authorize, or issue any class of Preferred Stock (including additional issuances of Series A Stock) without the Required Holders’ prior written consent, which consent may be granted or withheld in the Required Holders’ sole and absolute discretion.</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consummate a Fundamental Transaction or enter into an agreement to consummate a Fundamental Transaction without the Required Holders’ prior written consent, which consent may be granted or withheld in the Required Holders’ sole and absolute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Covenant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The Required Holders may elect to declare an “Event of Default” if any of the following conditions or events shall occur and be continuing:</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fails to fully comply with any covenant, obligation or agreement of the Corporation in this Certificate of Designation (other than payment or issuance defaults which are addressed in subparagraph (ii) below), or a breach of any covenant owed to any Series A Holder in any other agreement between the Corporation and such Series A Holder,) and such failure, if known to the Required Holders and reasonably possible of cure, is not cured within five (5) Business Days following receipt of notice to cure from the Required Holders;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fails to pay any amount due and payable to the Series A Holders pursuant to and as required by this Certificate of Designation, or fails to issue any additional shares of Series A Stock to the Series A Holders pursuant to and as required by this Certificate of Designation, and such failure, if known to the Series A Holders and reasonably possible of cure, is not cured within five (5) Business Days following receipt of notice to cure from the Required Holders;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(1) apply for or consent to the appointment of, or the taking of possession by, a receiver, custodian, trustee or liquidator; (2) make a general assignment for the benefit of the Corporation’s creditors; or (3) commence a voluntary case under the U.S. Bankruptcy Code as now and hereafter in effect, or any successor statute;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left="1300" w:hanging="320"/>
        <w:spacing w:after="0" w:line="255"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proceeding or case shall be commenced, without the application or consent of the Corporation, in any court of competent jurisdiction, seeking (1) liquidation, reorganization or other relief with respect to it or its assets or the composition or readjustment of its debts, or (2) the appointment of a trustee, receiver, custodian, liquidator or the like of any substantial part of its assets, and, in each case, such proceedings or case shall continue undismissed, or an order, judgment or decree approving or ordering any of the foregoing shall be entered and continue unstayed and in effect, for a period of sixty (60) days, if in the United States, or ninety (90) days, if outside of the United States; or an order for relief against the Corporation shall be entered in an involuntary case under any bankruptcy, insolvency, composition, readjustment of debt, liquidation of assets or similar law of any jurisdiction.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Events of Default</w:t>
      </w:r>
      <w:r>
        <w:rPr>
          <w:rFonts w:ascii="Times New Roman" w:cs="Times New Roman" w:eastAsia="Times New Roman" w:hAnsi="Times New Roman"/>
          <w:sz w:val="18"/>
          <w:szCs w:val="18"/>
          <w:color w:val="auto"/>
        </w:rPr>
        <w:t>. Upon the occurrence of an Event of Default, the Stated Value will automatically increase by fifteen percent (15%) (the “Default Effect”). The Default Effect may be applied up to three (3) times for three (3) separate Events of Default. If an Event of Default has occurred (i) the Required Holders may, by notice to the Corporation, force the Corporation to redeem all of the issued and outstanding shares of Series A Stock then held by the Series A Holders for a price equal to (1) the Stated Value of all such shares of Series A Stock; plus (2) any accrued and unpaid Preferred Return with respect to all such shares of Series A Stock, with such Preferred Return to be paid in cash and not via the issuance of additional shares of Series A Stock; plus (3) any and all other amounts due and payable to the Series A Holders pursuant to this Certificate of Designation; (ii) the Series A Holders shall have the right to pursue any other remedies that the Required Holders may have under applicable law and/or in equity; and (iii) the Series A Holders shall have the right to seek and receive injunctive relief from a court or an arbitrator prohibiting the Corporation from issuing any of its Common Stock or Preferred Stock to any party unless all the shares of Series A Stock owned by the Series A Holders are redeemed in full simultaneously with such issuance.</w:t>
      </w:r>
    </w:p>
    <w:p>
      <w:pPr>
        <w:spacing w:after="0" w:line="1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 the event that any Series A Holder incurs expenses in the enforcement of its rights hereunder, including but not limited to reasonable attorneys’ fees, then the Corporation shall immediately reimburse such Series A Holder the reasonable and documented costs thereof.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Certificate of Designation, the following terms, as used herein, have the following meanings:</w:t>
      </w:r>
    </w:p>
    <w:p>
      <w:pPr>
        <w:spacing w:after="0" w:line="162"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 specified Person, any other Person that directly or indirectly Controls, is Controlled by or is under common Control with, the specified Person.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other than Saturday, Sunday or other day on which commercial banks in New York City are authorized or required by law to remain closed.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means (i) the possession, directly or indirectly, of the power to vote ten percent (10%) or more of the securities or other equity interests of a Person having ordinary voting power, (ii) the possession, directly or indirectly, of the power to direct or cause the direction of the management and policies of a Person, by contract or otherwise, or (iii) being a director, officer, executor, trustee or fiduciary (or their equivalents) of a Person or a Person that controls such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328"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means Common Stock of the Corporation, Preferred Stock of the Corporation and any option, warrant, or right to subscribe for, acquire or purchase Common Stock or Preferred Stock.</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Transaction” means that (i) (A) the Corporation or any of its subsidiaries shall, directly or indirectly, in one or more related transactions, consolidate or merge with or into (whether or not the Corporation or any of its subsidiaries is the surviving corporation) any other person or entity, (B) the Corporation or any of its subsidiaries shall, directly or indirectly, in one or more related transactions, sell, lease, license, assign, transfer, convey or otherwise dispose of all or substantially all of its respective properties or assets to any other person or entity, (C) the Corporation or any of its subsidiaries shall, directly or indirectly, in one or more related transactions, allow any other person or entity to make a purchase, tender or exchange offer that is accepted by the holders of more than fifty percent (50%) of the outstanding shares of voting stock of the Corporation (not including any shares of voting stock of the Corporation held by the person or persons making or party to, or associated or affiliated with the persons or entities making or party to, such purchase, tender or exchange offer), (D) the Corporation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fifty percent (50%) of the outstanding shares of voting stock of the Corporation (not including any shares of voting stock of the Corporation held by the other persons or entities making or party to, or associated or affiliated with the other persons or entities making or party to, such stock or share purchase agreement or other business combination), (E) the Corporation or any of its subsidiaries shall, directly or indirectly, in one or more related transactions, reorganize, recapitalize or reclassify the Common Stock, other than an increase in the number of authorized shares of Common Stock, (F) the Corporation transfers any material asset to any subsidiary, affiliate, person or entity under common ownership or control with the Corporation, or (G) the Corporation pays or makes any monetary or non-monetary dividend or distribution to its stockholders; or (ii) any “person” or “group” (as these terms are used for purposes of Sections 13(d) and 14(d) of the Exchange Act and the rules and regulations promulgated thereunder) is or shall become the “beneficial owner” (as defined in Rule 13d-3 under the Exchange Act), directly or indirectly, of more than fifty percent (50%) of the aggregate ordinary voting power represented by issued and outstanding voting stock of the Corporation.</w:t>
      </w:r>
    </w:p>
    <w:p>
      <w:pPr>
        <w:spacing w:after="0" w:line="18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Date” means the date that the applicable shares of Series A Stock are issued to a Series A Holder.</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3" w:name="page14"/>
    <w:bookmarkEnd w:id="13"/>
    <w:p>
      <w:pPr>
        <w:jc w:val="both"/>
        <w:ind w:left="328" w:hanging="328"/>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liabilities, obligations or responsibilities of any nature whatsoever, whether direct or indirect, matured or un-matured, fixed or unfixed, known or unknown, asserted or unasserted, choate or inchoate, liquidated or unliquidated, secured or unsecured, absolute, contingent or otherwise, including any direct or indirect indebtedness, guaranty, endorsement, claim, loss, damage, deficiency, cost or expense.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means (a) Liens for taxes not yet delinquent or Liens for taxes being contested in good faith and by appropriate proceedings for which adequate reserves have been established; (b) Liens in favor of Investor under the Security Agreement or arising under the other Transaction Documents or any prior agreements between Company and Investor; and (c) Liens consented to in writing by Investor; “Lien” means, with respect to any property, any security interest, mortgage, pledge, lien, claim, charge or other encumbrance in, of, or on such property or the income therefrom, including, without limitation,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 “Investor” means Streeterville Capital, LLC; and “Transaction Documents” means (i) this Certificate of Designation, (ii) the following documents by and between the Corporation and the Investor: (a) Securities Purchase Agreement, (b) Secured Promissory Note A-1, (c) Secured Promissory Note B, and (d) the Security Agreement (the “Security Agreement”); (ii) the Deposit Account Control Agreement by and among Lakeside Bank, the Investor and IMNN Holdings, LLC; and (iii) the Guaranty by CLSN Laboratories, Inc. and IMNN Holdings, LLC.</w:t>
      </w:r>
    </w:p>
    <w:p>
      <w:pPr>
        <w:spacing w:after="0" w:line="19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 natural person, a corporation, a limited liability company, a partnership, an association, a trust or any other entity or organization, including a government or political subdivision or any agency or instrumentality thereof.</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Issuance” means the (i) the issuance, incurrence or guaranty of any debt or additional Liabilities other than trade payables incurred in the ordinary course of business, (ii) the issuance of (a) any Equity Securities of the Corporation, including, without limitation any Common Stock or any class or series of Preferred Stock; or (b) any securities that are convertible into or exchangeable for shares of Common Stock or any class or series of Preferred Stock, other than in each of the foregoing clauses (i) and (ii), for any such issuances or sales to a Series A Holder as contemplated in this Certificate of Designation or otherwise to a Series A Holder or any of its Affiliates. For the avoidance of doubt, the issuance of Common Stock under, pursuant to, in exchange for or in connection with any contract or instrument, whether convertible or not, is deemed a Restricted Issuance for purposes hereof if the number of shares of Common Stock to be issued is based upon or related in any way to the market price of the Common Stock, including, but not limited to, Common Stock issued in connection with a Section 3(a)(9) exchange, a Section 3(a)(10) settlement, or any other similar settlement or exchange. Notwithstanding anything to the contrary in the foregoing, “Restricted Issuance” shall not include (i) Common Stock issued pursuant to “at-the-market” trading (ATM) facilities provided that, the total combined proceeds received by the Corporation from such ATM facilities may not exceed $10,000,000; and (ii) any issuance of Common Stock, restricted stock units, options, warrants or other equity awards to Company employees and non-employee directors for compensatory purposes.</w:t>
      </w:r>
    </w:p>
    <w:p>
      <w:pPr>
        <w:spacing w:after="0" w:line="19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4" w:name="page15"/>
    <w:bookmarkEnd w:id="14"/>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right="1080" w:firstLine="332"/>
        <w:spacing w:after="0" w:line="500"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Act” means the United States Securities Act of 1933, as amended, and the rules and regulations promulgated thereunder. Section 14.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certificates representing the Series A Stock shall bear a restrictive legend in substantially the following form (and a stop transfer order may be placed against transfer of such stock certificates):</w:t>
      </w:r>
    </w:p>
    <w:p>
      <w:pPr>
        <w:spacing w:after="0" w:line="162" w:lineRule="exact"/>
        <w:rPr>
          <w:sz w:val="20"/>
          <w:szCs w:val="20"/>
          <w:color w:val="auto"/>
        </w:rPr>
      </w:pPr>
    </w:p>
    <w:p>
      <w:pPr>
        <w:jc w:val="both"/>
        <w:ind w:left="980" w:right="64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NOR REGISTERED NOR QUALIFIED UNDER ANY STATE SECURITIES LAWS. SUCH SECURITIES MAY NOT BE OFFERED FOR SALE, SOLD, DELIVERED AFTER SALE, TRANSFERRED, PLEDGED, OR HYPOTHECATED UNLESS QUALIFIED AND REGISTERED UNDER APPLICABLE STATE AND FEDERAL SECURITIES LAWS OR UNLESS, IN THE OPINION OF COUNSEL REASONABLY SATISFACTORY TO THE COMPANY, SUCH QUALIFICATION AND REGISTRATION IS NOT REQUIRED. ANY TRANSFER OF THE SECURITIES REPRESENTED BY THIS CERTIFICATE IS FURTHER SUBJECT TO OTHER RESTRICTIONS, TERMS AND CONDITIONS WHICH ARE SET FORTH HEREIN.</w:t>
      </w:r>
    </w:p>
    <w:p>
      <w:pPr>
        <w:spacing w:after="0" w:line="192" w:lineRule="exact"/>
        <w:rPr>
          <w:sz w:val="20"/>
          <w:szCs w:val="20"/>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Uncertificated Shares Lost or Mutilated Series A Stock Certificate</w:t>
      </w:r>
      <w:r>
        <w:rPr>
          <w:rFonts w:ascii="Times New Roman" w:cs="Times New Roman" w:eastAsia="Times New Roman" w:hAnsi="Times New Roman"/>
          <w:sz w:val="18"/>
          <w:szCs w:val="18"/>
          <w:color w:val="auto"/>
        </w:rPr>
        <w:t>. The Series A Stock shall be issued to each Series A Holder in uncertificated (book entry) form by the stock transfer agent of the Corporation unless a Series A Holder requests such Series A Stock be issued to such Series A Holder in certificated form. If any certificate for the Series A Stock held by the Series A Holder thereof shall be mutilated, lost, stolen or destroyed, the Corporation shall execute and deliver, in exchange and substitution for and upon cancellation of a mutilated certificate, or in lieu of or in substitution for a lost, stolen or destroyed certificate, a new certificate for the share of Series A Stock so mutilated, lost, stolen or destroyed but only upon receipt of evidence of such loss, theft or destruction of such certificate, and of the ownership hereof, and indemnity, if requested, all reasonably satisfactory to the Corporation.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If the Corporation or any Series A Holder shall commence an action or proceeding to enforce any provisions of this Certificate of Designation, then the prevailing party in such action or proceeding shall be reimbursed by the other party for its reasonable and documented attorney’s fees and other reasonable and documented costs and expenses incurred with the investigation, preparation and prosecution of such action or proceeding.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Series A Holder of a breach of any provision of this Certificate of Designation shall not operate as or be construed to be a waiver of any other breach of such provision or of any breach of any other provision of this Certificate of Designation. The failure of the Corporation or a Series A Holder to insist upon strict adherence to any term of this Certificate of Designation on one or more occasions shall not be considered a waiver or deprive that party of the right thereafter to insist upon strict adherence to that term or any other term of this Certificate of Designation. Any waiver must be in writing.</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2"/>
          <w:szCs w:val="12"/>
          <w:b w:val="1"/>
          <w:bCs w:val="1"/>
          <w:color w:val="auto"/>
        </w:rPr>
        <w:t>e c u r i t i e s</w:t>
      </w:r>
      <w:r>
        <w:rPr>
          <w:rFonts w:ascii="Times New Roman" w:cs="Times New Roman" w:eastAsia="Times New Roman" w:hAnsi="Times New Roman"/>
          <w:sz w:val="18"/>
          <w:szCs w:val="18"/>
          <w:b w:val="1"/>
          <w:bCs w:val="1"/>
          <w:color w:val="auto"/>
        </w:rPr>
        <w:t xml:space="preserve">  P </w:t>
      </w:r>
      <w:r>
        <w:rPr>
          <w:rFonts w:ascii="Times New Roman" w:cs="Times New Roman" w:eastAsia="Times New Roman" w:hAnsi="Times New Roman"/>
          <w:sz w:val="12"/>
          <w:szCs w:val="12"/>
          <w:b w:val="1"/>
          <w:bCs w:val="1"/>
          <w:color w:val="auto"/>
        </w:rPr>
        <w:t>u r c h a s e</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2"/>
          <w:szCs w:val="12"/>
          <w:b w:val="1"/>
          <w:bCs w:val="1"/>
          <w:color w:val="auto"/>
        </w:rPr>
        <w:t>g r e e m e n 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his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 2026, is entered into by and between I</w:t>
      </w:r>
      <w:r>
        <w:rPr>
          <w:rFonts w:ascii="Times New Roman" w:cs="Times New Roman" w:eastAsia="Times New Roman" w:hAnsi="Times New Roman"/>
          <w:sz w:val="12"/>
          <w:szCs w:val="12"/>
          <w:color w:val="auto"/>
        </w:rPr>
        <w:t>munon</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its successors and/or assigns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Company and Investor are executing and delivering this Agreement in reliance upon Section 4(a)(2) of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Investor desires to purchase and Company desires to issue and sell, upon the terms and conditions set forth in this Agreement: (i) a Secured Promissory Note A-1 in the original principal amount of $2,720,000.00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A-1 Note</w:t>
      </w:r>
      <w:r>
        <w:rPr>
          <w:rFonts w:ascii="Times New Roman" w:cs="Times New Roman" w:eastAsia="Times New Roman" w:hAnsi="Times New Roman"/>
          <w:sz w:val="18"/>
          <w:szCs w:val="18"/>
          <w:color w:val="auto"/>
        </w:rPr>
        <w:t>”, and together with any notes issued pursuant to Section 1.8 below, the “</w:t>
      </w:r>
      <w:r>
        <w:rPr>
          <w:rFonts w:ascii="Times New Roman" w:cs="Times New Roman" w:eastAsia="Times New Roman" w:hAnsi="Times New Roman"/>
          <w:sz w:val="18"/>
          <w:szCs w:val="18"/>
          <w:b w:val="1"/>
          <w:bCs w:val="1"/>
          <w:color w:val="auto"/>
        </w:rPr>
        <w:t>A Notes</w:t>
      </w:r>
      <w:r>
        <w:rPr>
          <w:rFonts w:ascii="Times New Roman" w:cs="Times New Roman" w:eastAsia="Times New Roman" w:hAnsi="Times New Roman"/>
          <w:sz w:val="18"/>
          <w:szCs w:val="18"/>
          <w:color w:val="auto"/>
        </w:rPr>
        <w:t xml:space="preserve">”); (ii) a Secured Promissory Note B in the original principal amount of $5,000,000.00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 Note</w:t>
      </w:r>
      <w:r>
        <w:rPr>
          <w:rFonts w:ascii="Times New Roman" w:cs="Times New Roman" w:eastAsia="Times New Roman" w:hAnsi="Times New Roman"/>
          <w:sz w:val="18"/>
          <w:szCs w:val="18"/>
          <w:color w:val="auto"/>
        </w:rPr>
        <w:t>”, and together with the A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each individually,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(iii) 250 shares of Series A Preferred Stock, par value $0.01 per share, of Company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the terms of which are set forth in the Certificate of Designation for such Preferred Shares,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This Agreement, the Notes, the Certificate of Designation, the DACA (as defined below), the Collateral Agreements (as defined below), all exhibits and schedules thereto and all other certificates, documents, agreements, resolutions and instruments delivered to any party under or in connection with this Agreement, as the same may be amended from time to time, are 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For purposes of this Agreement,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Notes and the Preferred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and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Company and Investor hereby agree as follows:</w:t>
      </w:r>
    </w:p>
    <w:p>
      <w:pPr>
        <w:spacing w:after="0" w:line="159" w:lineRule="exact"/>
        <w:rPr>
          <w:sz w:val="20"/>
          <w:szCs w:val="20"/>
          <w:color w:val="auto"/>
        </w:rPr>
      </w:pPr>
    </w:p>
    <w:p>
      <w:pPr>
        <w:ind w:left="840" w:hanging="184"/>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of Notes</w:t>
      </w:r>
      <w:r>
        <w:rPr>
          <w:rFonts w:ascii="Times New Roman" w:cs="Times New Roman" w:eastAsia="Times New Roman" w:hAnsi="Times New Roman"/>
          <w:sz w:val="18"/>
          <w:szCs w:val="18"/>
          <w:color w:val="auto"/>
        </w:rPr>
        <w:t>. On the Closing Date (as defined below), Company hereby agrees to issue and sell to Investor and Investor hereby agrees to purchase from Company the A-1 Note and the B Note. In consideration thereof, Investor agrees to pay $7,500,000.00 (the “</w:t>
      </w:r>
      <w:r>
        <w:rPr>
          <w:rFonts w:ascii="Times New Roman" w:cs="Times New Roman" w:eastAsia="Times New Roman" w:hAnsi="Times New Roman"/>
          <w:sz w:val="18"/>
          <w:szCs w:val="18"/>
          <w:b w:val="1"/>
          <w:bCs w:val="1"/>
          <w:color w:val="auto"/>
        </w:rPr>
        <w:t>Notes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to Company.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On the Closing Date, Company shall also issue and sell to Investor and Investor shall purchase from Company the Preferred Shares. In consideration thereof, Investor shall pay $2,500,000.00 (together with the Notes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to Company. The purchase price per share for the purchase of all Preferred Shares pursuant to this Agreement will be $10,000.00 per share.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Investor shall pay the Purchase Price to Company via wire transfer of immediately available funds against delivery of the A-1 Note, the B Note, and the Preferred Shares as follows: (i) $2,500,000.00 of the Purchase Price will be sent to Company for the A-1 Note; (ii) $5,000,000.00 of the Purchase Price will be sent to Lakeside Bank for the B Note to be held in a deposit account in the name of Company’s subsidiary, IMNN Holdings, LLC (“</w:t>
      </w:r>
      <w:r>
        <w:rPr>
          <w:rFonts w:ascii="Times New Roman" w:cs="Times New Roman" w:eastAsia="Times New Roman" w:hAnsi="Times New Roman"/>
          <w:sz w:val="18"/>
          <w:szCs w:val="18"/>
          <w:b w:val="1"/>
          <w:bCs w:val="1"/>
          <w:color w:val="auto"/>
        </w:rPr>
        <w:t>IMNN Holdings</w:t>
      </w:r>
      <w:r>
        <w:rPr>
          <w:rFonts w:ascii="Times New Roman" w:cs="Times New Roman" w:eastAsia="Times New Roman" w:hAnsi="Times New Roman"/>
          <w:sz w:val="18"/>
          <w:szCs w:val="18"/>
          <w:color w:val="auto"/>
        </w:rPr>
        <w:t>”), that is subject to the DACA; and (iii) $2,500,000.00 of the Purchase Price will be sent to Company for the Preferred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the satisfaction (or written waiver) of the conditions set forth in Section 5 and Section 6 below, the date of the issuance and sale of the A-1 Note, the B Note, and the Preferred Shares pursuant to this Agreement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June 2, 2026, or such other mutually agreed upon date. The closing of the transactions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on the Closing Date by means of the exchange of electronic signatures but shall be deemed for all purposes to have occurred at the offices of Hansen Black Anderson Ashcraft PLLC in Lehi, Utah.</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Original Issue Discount; Transaction Expense Amount</w:t>
      </w:r>
      <w:r>
        <w:rPr>
          <w:rFonts w:ascii="Times New Roman" w:cs="Times New Roman" w:eastAsia="Times New Roman" w:hAnsi="Times New Roman"/>
          <w:sz w:val="18"/>
          <w:szCs w:val="18"/>
          <w:color w:val="auto"/>
        </w:rPr>
        <w:t>. The A-1 Note carries an original issue discount of $200,000.00 (the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 addition, Company agrees to pay $20,000.00 to Investor to cover Investor’s legal, administrative and due diligence expenses incurred in connection with the purchase and sale of the A-1 Note, the B Note, and the Preferred Shares (the “</w:t>
      </w:r>
      <w:r>
        <w:rPr>
          <w:rFonts w:ascii="Times New Roman" w:cs="Times New Roman" w:eastAsia="Times New Roman" w:hAnsi="Times New Roman"/>
          <w:sz w:val="18"/>
          <w:szCs w:val="18"/>
          <w:b w:val="1"/>
          <w:bCs w:val="1"/>
          <w:color w:val="auto"/>
        </w:rPr>
        <w:t>Transaction Expense Amount</w:t>
      </w:r>
      <w:r>
        <w:rPr>
          <w:rFonts w:ascii="Times New Roman" w:cs="Times New Roman" w:eastAsia="Times New Roman" w:hAnsi="Times New Roman"/>
          <w:sz w:val="18"/>
          <w:szCs w:val="18"/>
          <w:color w:val="auto"/>
        </w:rPr>
        <w:t>”), all of which amount is included in the initial principal balance of the A-1 Note.</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DACA</w:t>
      </w:r>
      <w:r>
        <w:rPr>
          <w:rFonts w:ascii="Times New Roman" w:cs="Times New Roman" w:eastAsia="Times New Roman" w:hAnsi="Times New Roman"/>
          <w:sz w:val="18"/>
          <w:szCs w:val="18"/>
          <w:color w:val="auto"/>
        </w:rPr>
        <w:t>. Company’s obligations under the B Note will be secured by cash held in a deposit account (“</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xml:space="preserve">”) pursuant to a Deposit Account Control Agreement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DACA</w:t>
      </w:r>
      <w:r>
        <w:rPr>
          <w:rFonts w:ascii="Times New Roman" w:cs="Times New Roman" w:eastAsia="Times New Roman" w:hAnsi="Times New Roman"/>
          <w:sz w:val="18"/>
          <w:szCs w:val="18"/>
          <w:color w:val="auto"/>
        </w:rPr>
        <w:t>”). Company hereby grants to Investor a first-position security interest in the Deposit Account and acknowledges and agrees that Investor will have the right to file a UCC-1 Financing Statement with respect to the Deposit Account.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In addition to the DACA, Company’s obligations under the Notes will be: (a) guaranteed pursuant to a Guaranty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to be executed by CLSN Laboratories, Inc. (the “</w:t>
      </w:r>
      <w:r>
        <w:rPr>
          <w:rFonts w:ascii="Times New Roman" w:cs="Times New Roman" w:eastAsia="Times New Roman" w:hAnsi="Times New Roman"/>
          <w:sz w:val="18"/>
          <w:szCs w:val="18"/>
          <w:b w:val="1"/>
          <w:bCs w:val="1"/>
          <w:color w:val="auto"/>
        </w:rPr>
        <w:t>CLSN Labs</w:t>
      </w:r>
      <w:r>
        <w:rPr>
          <w:rFonts w:ascii="Times New Roman" w:cs="Times New Roman" w:eastAsia="Times New Roman" w:hAnsi="Times New Roman"/>
          <w:sz w:val="18"/>
          <w:szCs w:val="18"/>
          <w:color w:val="auto"/>
        </w:rPr>
        <w:t>”) and IMNN Holdings (together with CLSN Labs,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and (b) secured by a Security Agreement executed by Company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and together with the Guaranty, the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B Note Exchanges</w:t>
      </w:r>
      <w:r>
        <w:rPr>
          <w:rFonts w:ascii="Times New Roman" w:cs="Times New Roman" w:eastAsia="Times New Roman" w:hAnsi="Times New Roman"/>
          <w:sz w:val="18"/>
          <w:szCs w:val="18"/>
          <w:color w:val="auto"/>
        </w:rPr>
        <w:t>. If at any time the aggregate outstanding balance of all A Notes or the aggregate number of outstanding Preferred Shares is reduced by an amount equal to $2,000,000.00 (calculated as the applicable number of Preferred Share multiplied by the Stated Value (as defined in the Certificate of Designation)) (or, if less than $2,000,000.00, the entire remaining outstanding balance of the A Notes), then Company will have the right to exchange up to $1,000,000.00, plus interest (or, if less than $1,000,000.00, the entire remaining amount of the B Note, or such other amount as the parties mutually agree) of the B Note for an A Note in the same form as the A-1 Note (each, a “</w:t>
      </w:r>
      <w:r>
        <w:rPr>
          <w:rFonts w:ascii="Times New Roman" w:cs="Times New Roman" w:eastAsia="Times New Roman" w:hAnsi="Times New Roman"/>
          <w:sz w:val="18"/>
          <w:szCs w:val="18"/>
          <w:b w:val="1"/>
          <w:bCs w:val="1"/>
          <w:color w:val="auto"/>
        </w:rPr>
        <w:t>Note Exchange</w:t>
      </w:r>
      <w:r>
        <w:rPr>
          <w:rFonts w:ascii="Times New Roman" w:cs="Times New Roman" w:eastAsia="Times New Roman" w:hAnsi="Times New Roman"/>
          <w:sz w:val="18"/>
          <w:szCs w:val="18"/>
          <w:color w:val="auto"/>
        </w:rPr>
        <w:t>”). Each Note Exchange will be effected pursuant to Section 3(a)(9) of the 1933 Act. Each additional A Note issued pursuant to a Note Exchange will have the same maturity date, interest rate, OID percentage, and other economic and other terms as the A-1 Note. Upon completion of a Note Exchange, an amount equal to the portion of the outstanding balance of the B Note exchanged for the applicable A Note will be eligible to be released from the Deposit Account. No additional Transaction Expense Amount will be assessed in connection with the issuance of any A Note pursuant to a Note Exchange.</w:t>
      </w:r>
    </w:p>
    <w:p>
      <w:pPr>
        <w:spacing w:after="0" w:line="188" w:lineRule="exact"/>
        <w:rPr>
          <w:sz w:val="20"/>
          <w:szCs w:val="20"/>
          <w:color w:val="auto"/>
        </w:rPr>
      </w:pPr>
    </w:p>
    <w:p>
      <w:pPr>
        <w:jc w:val="both"/>
        <w:ind w:firstLine="656"/>
        <w:spacing w:after="0" w:line="266" w:lineRule="auto"/>
        <w:tabs>
          <w:tab w:leader="none" w:pos="85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Investor’s Representations and Warranties</w:t>
      </w:r>
      <w:r>
        <w:rPr>
          <w:rFonts w:ascii="Times New Roman" w:cs="Times New Roman" w:eastAsia="Times New Roman" w:hAnsi="Times New Roman"/>
          <w:sz w:val="17"/>
          <w:szCs w:val="17"/>
          <w:color w:val="auto"/>
        </w:rPr>
        <w:t>. Investor represents and warrants to Company that as of the Closing Date: (i) each Transaction Document to which it is a party has been duly executed by Investor, and when delivered by Investor in accordance with the terms hereof or thereof, will constitute the valid and legally binding obligation of Investor, enforceable against it in accordance with its terms, except (a) as limited by general equitable principles and applicable bankruptcy, insolvency, reorganization, moratorium and other laws of general application affecting enforcement of creditors’ rights generally, (b) as limited by laws relating to the availability of specific performance, injunctive relief or other equitable remedies and (c) insofar as indemnification and contribution provisions may be limited by applicable law; (ii) the execution and delivery of the Transaction Documents and performance by Investor of the transactions contemplated by the Transaction Documents have been duly authorized by all necessary limited liability company action, as applicable; (iii) Investor is an “accredited investor” as that term is defined in Rule 501(a) of Regulation D of the 1933 Act; (iv) Investor,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(v) Investor is an entity duly formed, validly existing and in good standing under the laws of the jurisdiction of its formation with full right, limited liability company power, and authority to enter into and to consummate the transactions contemplated by the Transaction Documents and otherwise to carry out its obligations hereunder and thereunder; (vi) other than to other parties to the Transaction Documents or to Investor’s representatives, including, without limitation, its officers, directors, partners, legal and other advisors, employees, agents and affiliates, Investor has maintained the confidentiality of all disclosures made to it in connection with this transaction (including the existence and terms of this transaction); (vii) Investor has had an opportunity to discuss Company’s business, management, financial affairs and the terms and conditions of the offering of the Securities with Company’s management; and</w:t>
      </w:r>
    </w:p>
    <w:p>
      <w:pPr>
        <w:spacing w:after="0" w:line="7" w:lineRule="exact"/>
        <w:rPr>
          <w:rFonts w:ascii="Times New Roman" w:cs="Times New Roman" w:eastAsia="Times New Roman" w:hAnsi="Times New Roman"/>
          <w:sz w:val="17"/>
          <w:szCs w:val="17"/>
          <w:color w:val="auto"/>
        </w:rPr>
      </w:pPr>
    </w:p>
    <w:p>
      <w:pPr>
        <w:ind w:right="20" w:firstLine="8"/>
        <w:spacing w:after="0" w:line="260"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Investor, nor any of its officers, directors, employees, agents, stockholders or partners has either directly or indirectly, including, through a broker or finder (a) engaged in any general solicitation, or (b) published any advertisement in connection with the offer and sale of the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56"/>
        <w:spacing w:after="0" w:line="251" w:lineRule="auto"/>
        <w:tabs>
          <w:tab w:leader="none" w:pos="8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Representations and Warranties</w:t>
      </w:r>
      <w:r>
        <w:rPr>
          <w:rFonts w:ascii="Times New Roman" w:cs="Times New Roman" w:eastAsia="Times New Roman" w:hAnsi="Times New Roman"/>
          <w:sz w:val="18"/>
          <w:szCs w:val="18"/>
          <w:color w:val="auto"/>
        </w:rPr>
        <w:t>. Company represents and warrants to Investor that as of the Closing Date: (i) Company is a corporation duly organized, validly existing and in good standing under the laws of its state of incorporation and has the requisite corporate power to own its properties and to carry on its business as now being conducted; (ii) Company is duly qualified as a foreign corporation to do business and is in good standing in each jurisdiction where the nature of the business conducted or property owned by it makes such qualification necessary, except where the failure to be so qualified or in good standing, as the case may be, would not have or reasonably be expected to result in: (a) a material adverse effect on the legality, validity or enforceability of any Transaction Document, (b) a material adverse effect on the results of operations, assets, business or condition (financial or otherwise) of Company and Subsidiaries, taken as a whole, or (c) a material adverse effect on Company’s ability to perform in any material respect on a timely basis its obligations under any of the Transaction Documents (any of (a), (b) or (c),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(iii) Company has registered its shares of common stock, $0.01 par value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under Section 12(b)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is obligated to file reports pursuant to Section 13(a) or Section 15(d) of the 1934 Act; (iv) each of the Transaction Documents and the transactions contemplated hereby and thereby, have been duly and validly authorized by Company and no further action is required by the Company, the Company’s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 committee of the Board of Directors, or the Company’s stockholders in connection herewith or therewith to authorize such matters; (v) the Transaction Documents have been duly executed and delivered by Company and, when delivered in accordance with the terms hereof and thereof, will constitute the valid and binding obligations of Company enforceable in accordance with their terms, except (a) as limited by general equitable principles and applicable bankruptcy, insolvency, reorganization, moratorium and other laws of general application affecting enforcement of creditors’ rights generally, (b) as limited by laws relating to the availability of specific performance, injunctive relief or other equitable remedies and (b) insofar as indemnification and contribution provisions may be limited by applicable law; (vi) the execution and delivery of the Transaction Documents by Company, the issuance of the Securities in accordance with the terms hereof, and the consummation by Company of the other transactions contemplated by the Transaction Documents do not and will not conflict with or result in a breach by Company of any of the terms or provisions of, or constitute a default under (a) Company’s incorporation documents or bylaws, each as currently in effect, (b) any indenture, mortgage, deed of trust, or other material agreement or instrument to which Company is a party or by which it or any of its properties or assets are bound or</w:t>
      </w:r>
    </w:p>
    <w:p>
      <w:pPr>
        <w:spacing w:after="0" w:line="8" w:lineRule="exact"/>
        <w:rPr>
          <w:rFonts w:ascii="Times New Roman" w:cs="Times New Roman" w:eastAsia="Times New Roman" w:hAnsi="Times New Roman"/>
          <w:sz w:val="18"/>
          <w:szCs w:val="18"/>
          <w:color w:val="auto"/>
        </w:rPr>
      </w:pPr>
    </w:p>
    <w:p>
      <w:pPr>
        <w:jc w:val="both"/>
        <w:ind w:firstLine="8"/>
        <w:spacing w:after="0" w:line="250" w:lineRule="auto"/>
        <w:tabs>
          <w:tab w:leader="none" w:pos="2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applicable law, rule, or regulation or any applicable decree, judgment, or order of any court, United States federal, state or foreign regulatory body, administrative agency, or other governmental body having jurisdiction over Company or any of Company’s properties or assets; (vii) no further authorization, approval or consent of any court, governmental body, regulatory agency, self-regulatory organization, or stock exchange or market or the stockholders or any lender of Company is required to be obtained by Company for the issuance of the Securities to Investor or the entering into of the Transaction Documents; (viii) to the Company’s knowledge, none of Company’s filings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contained, at the time they were filed, any untrue statement of a material fact or omitted to state any material fact required to be stated therein or necessary to make the statements made therein, in light of the circumstances under which they were made, not misleading; (ix)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 (x) there is no action, suit, proceeding, inquiry or investigation before or by any court, public board or body pending or, to the knowledge of Company, threatened against or affecting Company before or by any governmental or regulatory authority or administrative agency (federal, state, county local or foreign), wherein an unfavorable decision would have a Material Adverse Effect on Company or the validity or enforceability of, or the authority or ability of Company to perform its obligations under, any of the Transaction Documents; (xi) Company has not consummated any financing transaction that has not been disclosed in a periodic filing or current report with the SEC under the 1934 Act where disclosure was required pursuant to the 1934 Act; (xii) Company is not, nor has it been at any time in the previous twelve (12) months, an issuer subject to Rule 144(i)(1) under the 1933 Act; (xiii) with respect to any commissions, brokerage or finder’s fees or similar payments that will or would become due and owing by Company to any person or entity as a result of this Agreement or the transactions contemplated hereby (“</w:t>
      </w:r>
      <w:r>
        <w:rPr>
          <w:rFonts w:ascii="Times New Roman" w:cs="Times New Roman" w:eastAsia="Times New Roman" w:hAnsi="Times New Roman"/>
          <w:sz w:val="18"/>
          <w:szCs w:val="18"/>
          <w:b w:val="1"/>
          <w:bCs w:val="1"/>
          <w:color w:val="auto"/>
        </w:rPr>
        <w:t>Broker Fees</w:t>
      </w:r>
      <w:r>
        <w:rPr>
          <w:rFonts w:ascii="Times New Roman" w:cs="Times New Roman" w:eastAsia="Times New Roman" w:hAnsi="Times New Roman"/>
          <w:sz w:val="18"/>
          <w:szCs w:val="18"/>
          <w:color w:val="auto"/>
        </w:rPr>
        <w:t>”), any such Broker Fees will be paid in full compliance with all applicable laws and regulations and only to a person or entity that is a registered investment adviser or registered broker-dealer; (xiv) Investor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each of Investor, Investor’s employees, officers, directors, stockholders, managers, agents, and partners, and their respective affiliates, from and against all claims, losses, damages, costs (including the costs of preparation and attorneys’ fees) and expenses suffered in respect of any such claimed or existing Broker Fees; (xv) neither Investor nor any of its officers, directors, members, managers, employees,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Company is not relying on any representation, warranty, covenant or promise of Investor or its officers, directors, members, managers, employees, agents or representatives other than as set forth in the Transaction Documents; (xvi) Company acknowledges that the State of Utah has a reasonable relationship and sufficient contacts to the transactions contemplated by the Transaction Documents and any dispute that may arise related thereto such that the laws and venue of the State of Utah, as set forth more specifically in Section 7.2 below, shall be applicable to the Transaction Documents and the transactions contemplated therein; (xvii) Company acknowledges that Investor is not registered as a ‘dealer’ under the 1934 Act; and (xviii) Company has performed due diligence and background research on Investor and its affiliates and has received and reviewed the due diligence summary sheet provided by Investor. Company, being aware of the matters and legal issues described in subsections (xvii) and (xviii) above, acknowledges and agrees that such matters, or any similar matters, have no bearing on the transactions contemplated by the Transaction Documents and covenants and agrees it will not use any such information or legal theory as a defense to performance of its obligations under the Transaction Documents or in any attempt to avoid, modify, reduce, rescind or void such obligations.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656"/>
        <w:spacing w:after="0" w:line="252" w:lineRule="auto"/>
        <w:tabs>
          <w:tab w:leader="none" w:pos="8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Covenants</w:t>
      </w:r>
      <w:r>
        <w:rPr>
          <w:rFonts w:ascii="Times New Roman" w:cs="Times New Roman" w:eastAsia="Times New Roman" w:hAnsi="Times New Roman"/>
          <w:sz w:val="18"/>
          <w:szCs w:val="18"/>
          <w:color w:val="auto"/>
        </w:rPr>
        <w:t>. Until all of Company’s obligations under the Notes are paid and performed in full, or within the timeframes otherwise specifically set forth below, Company will at all times comply with the following covenants: (i) so long as Investor beneficially owns any Note and for at least twenty (20) Trading Days (as defined in the Notes) thereafter, Company will timely file on the applicable deadline all reports required to be filed with the SEC pursuant to Sections 13 or 15(d) of the 1934 Act, and will take all reasonable action under its control to ensure that adequate current public information with respect to Company, as required in accordance with Rule 144 of the 1933 Act, is publicly available, and will not terminate its status as an issuer required to file reports under the 1934 Act even if the 1934 Act or the rules and regulations thereunder would permit such termination; (ii) Company will ensure that the Common Shares are listed or quoted for trading on NYSE, NYSE American, or Nasdaq; (iii) Company will ensure that trading in the Common Shares will not be suspended, halted, chilled, frozen, reach zero bid or otherwise cease trading on Company’s principal trading market; (iv) Company will not make any Restricted Issuance (as defined below) without Investor’s prior written consent, which consent may be granted or withheld in Investor’s sole and absolute discretion; (v) Company will not enter into any agreement or otherwise agree to any covenant, condition, or obligation that locks up, restricts in any way or otherwise prohibits Company: (a) from entering into a variable rate transaction with Investor or any affiliate of Investor, or</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issuing Common Shares, preferred stock, warrants, convertible notes, other debt securities, or any other Company securities to Investor or any affiliate of Investor; (vi) other than Permitted Liens, neither Company nor either Subsidiary will grant any security interest, lien, pledge, guaranty or other encumbrance with respect to any of its assets; (vii) Company will notify Investor of any action, suit, proceeding, inquiry or investigation filed or initiated against Company or IMNN Holdings within three (3) Trading Days of the initiation of such; (viii) neither Company nor either Subsidiary will sell, transfer, or issue any equity or grant any rights to any equity interest or voting rights in the Subsidiaries; (ix) Company will not allow IMNN Holdings to issue, incur, or guaranty any debt or conduct any business operations; and (x) Company will not allow CLSN Labs to issue, incur or guaranty any debt other than in the ordinary course of business.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purposes hereof, the term “</w:t>
      </w:r>
      <w:r>
        <w:rPr>
          <w:rFonts w:ascii="Times New Roman" w:cs="Times New Roman" w:eastAsia="Times New Roman" w:hAnsi="Times New Roman"/>
          <w:sz w:val="18"/>
          <w:szCs w:val="18"/>
          <w:b w:val="1"/>
          <w:bCs w:val="1"/>
          <w:color w:val="auto"/>
        </w:rPr>
        <w:t>Restricted Issuance</w:t>
      </w:r>
      <w:r>
        <w:rPr>
          <w:rFonts w:ascii="Times New Roman" w:cs="Times New Roman" w:eastAsia="Times New Roman" w:hAnsi="Times New Roman"/>
          <w:sz w:val="18"/>
          <w:szCs w:val="18"/>
          <w:color w:val="auto"/>
        </w:rPr>
        <w:t>” means the issuance, incurrence or guaranty of any debt obligations (including any merchant cash advance, account receivable factoring or other similar agreement) other than trade payables in the ordinary course of business, or the issuance of any securities that: (1) have or may have conversion rights of any kind, contingent, conditional or otherwise, in which the number of shares that may be issued pursuant to such conversion right varies with the market price of the Common Shares; (2) are or may become convertible into Common Shares (including without limitation convertible debt, warrants or convertible preferred shares), with a conversion price that varies with the market price of the Common Shares, even if such security only becomes convertible following an event of default, the passage of time, or another trigger event or condition; (3) have a fixed conversion price, exercise price or exchange price that is subject to being reset at some future date at any time after the initial issuance of such debt or equity security (A) due to a change in the market price of Company’s Common Shares since the date of the initial issuance, or (B) upon the occurrence of specified or contingent events directly or indirectly related to the business of Company (including, without limitation, any “full ratchet” or “weighted average” anti-dilution provisions, but not including any standard anti-dilution protection for any reorganization, recapitalization, non-cash dividend, stock split or other similar transaction); or (4) are issued in connection with a Section 3(a)(9) exchange, a Section 3(a)(10) settlement, or any other similar settlement or exchange. For the avoidance of doubt, none of the following will be considered Restricted Issuances: (i) current or future ATM facilities; (ii) any issuance of Common Shares, restricted stock units, options, warrants or other equity awards to Company employees and non-employee directors for compensatory purposes; and (iii) primary offerings of Common Shares or warrants without variable price mechanics or any anti-dilution, “alternate cash exercise”, or cashless exercise provisions or other similar mechanics or provisions that would allow for the reduction of the exercise price of the warrants or increase the number of shares exercisable under the warrants.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hereof, the term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Liens for taxes not yet delinquent or Liens for taxes being contested in good faith and by appropriate proceedings for which adequate reserves have been established; (b) Liens in favor of Investor under the Security Agreement or arising under the other Transaction Documents or any prior agreements between Company and Investor; and (c) Liens consented to in writing by Investor; and “</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any security interest, mortgage, pledge, lien, claim, charge or other encumbrance in, of, or on such property or the income therefrom, including, without limitation,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w:t>
      </w:r>
    </w:p>
    <w:p>
      <w:pPr>
        <w:spacing w:after="0" w:line="187" w:lineRule="exact"/>
        <w:rPr>
          <w:sz w:val="20"/>
          <w:szCs w:val="20"/>
          <w:color w:val="auto"/>
        </w:rPr>
      </w:pPr>
    </w:p>
    <w:p>
      <w:pPr>
        <w:ind w:firstLine="656"/>
        <w:spacing w:after="0" w:line="282" w:lineRule="auto"/>
        <w:tabs>
          <w:tab w:leader="none" w:pos="8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Company’s Obligation to Sell</w:t>
      </w:r>
      <w:r>
        <w:rPr>
          <w:rFonts w:ascii="Times New Roman" w:cs="Times New Roman" w:eastAsia="Times New Roman" w:hAnsi="Times New Roman"/>
          <w:sz w:val="18"/>
          <w:szCs w:val="18"/>
          <w:color w:val="auto"/>
        </w:rPr>
        <w:t>. The obligation of Company hereunder to issue and sell the Securities to Investor at the Closing is subject to the satisfaction, on or before the Closing Date, of each of the following conditions: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 Investor shall have executed all applicable Transaction Documents and delivered the same to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 Investor shall have delivered the Purchase Price to Company in accordance with Section 1.3 above.</w:t>
      </w:r>
    </w:p>
    <w:p>
      <w:pPr>
        <w:spacing w:after="0" w:line="225" w:lineRule="exact"/>
        <w:rPr>
          <w:sz w:val="20"/>
          <w:szCs w:val="20"/>
          <w:color w:val="auto"/>
        </w:rPr>
      </w:pPr>
    </w:p>
    <w:p>
      <w:pPr>
        <w:jc w:val="both"/>
        <w:ind w:firstLine="656"/>
        <w:spacing w:after="0" w:line="266"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Investor’s Obligation to Purchase</w:t>
      </w:r>
      <w:r>
        <w:rPr>
          <w:rFonts w:ascii="Times New Roman" w:cs="Times New Roman" w:eastAsia="Times New Roman" w:hAnsi="Times New Roman"/>
          <w:sz w:val="18"/>
          <w:szCs w:val="18"/>
          <w:color w:val="auto"/>
        </w:rPr>
        <w:t>. The obligation of Investor hereunder to purchase the Securities at the Closing is subject to the satisfaction, on or before the Closing Date, of each of the following conditions, provided that these conditions are for Investor’s sole benefit and may be waived by Investor at any time in its sole discretion: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6.1. Company shall have executed all applicable Transaction Documents and delivered the same to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 Company shall have issued and delivered the Preferred Shares to Investor.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6.3. Company shall have delivered to Investor a fully executed Officer’s Certificate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evidencing Company’s approval of the Transaction Documents.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6.4. IMNN Holdings and Lakeside Bank shall have executed and delivered the DACA to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6.5. Each Subsidiary shall have executed and delivered the Guaranty to Investor.</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6.6. Company shall have filed the Certificate of Designation with the State of Delaware and received confirmation from the State of Delaware that such Certificate of Designation has been accepted and approved.</w:t>
      </w:r>
    </w:p>
    <w:p>
      <w:pPr>
        <w:spacing w:after="0" w:line="162" w:lineRule="exact"/>
        <w:rPr>
          <w:sz w:val="20"/>
          <w:szCs w:val="20"/>
          <w:color w:val="auto"/>
        </w:rPr>
      </w:pPr>
    </w:p>
    <w:p>
      <w:pPr>
        <w:jc w:val="both"/>
        <w:ind w:firstLine="656"/>
        <w:spacing w:after="0" w:line="266"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provisions set forth in this Section 7 shall apply to this Agreement, as well as all other Transaction Documents as if these terms were fully set forth therein; provided, however, that in the event there is a conflict between any provision set forth in this Section 7 and any provision in any other Transaction Document, the provision in such other Transaction Document shall govern.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Arbitration of Claims</w:t>
      </w:r>
      <w:r>
        <w:rPr>
          <w:rFonts w:ascii="Times New Roman" w:cs="Times New Roman" w:eastAsia="Times New Roman" w:hAnsi="Times New Roman"/>
          <w:sz w:val="18"/>
          <w:szCs w:val="18"/>
          <w:color w:val="auto"/>
        </w:rPr>
        <w:t xml:space="preserve">. The parties shall submit all Claims (as defined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arising under this Agreement or any other Transaction Document or any other agreement between the parties and their affiliates or any Claim relating to the relationship of the parties to binding arbitration pursuant to the arbitration provisions set forth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For the avoidance of doubt, the parties agree that the injunction described in Section 7.3 below may be pursued in an arbitration that is separate and apart from any other arbitration regarding all other Claims arising under the Transaction Documents. The parties hereby acknowledge and agree that the Arbitration Provisions are unconditionally binding on the parties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Investor may rely upon the foregoing representations and covenants of Company regarding the Arbitration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Each party consents to and expressly agrees that the exclusive venue for arbitration of any dispute arising out of or relating to any Transaction Document or the relationship of the parties or their affiliates shall be in Salt Lake County, Utah. Without modifying the parties’ obligations to resolve disputes hereunder pursuant to the Arbitration Provisions, for any litigation arising in connection with any of the Transaction Documents, each party hereto hereby (i) consents to and expressly submits to the exclusive personal jurisdiction of any state or federal court sitting in Salt Lake County, Utah, (ii) expressly submits to the exclusive venue of any such court for the purposes hereof, and (iii)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Company acknowledges that the governing law and venue provisions set forth in this Section 7.2 are material terms to induce Investor to enter into the Transaction Documents and that but for Company’s agreements set forth in this Section 7.2 Investor would not have entered into the Transaction Documents.</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acknowledge and agree that each party may suffer irreparable harm if Company or Investor fail to perform any material provision of this Agreement or any of the other Transaction Documents in accordance with its specific terms. It is accordingly agreed that Company and Investor shall be entitled to seek one or more injunctions to prevent or cure breaches of the provisions of this Agreement or such other Transaction Document and to enforce specifically the terms and provisions hereof or thereof, this being in addition to any other remedy to which Investor may be entitled under the Transaction Documents, at law or in equity. Company specifically agrees that: (i) following an Event of Default (as defined in the Notes or the Certificate of Designation) under any Note or the Certificate of Designation, Investor shall have the right to seek injunctive relief from a court or an arbitrator prohibiting Company from issuing any of its Common Shares or preferred stock to any party unless fifty percent (50%) of the gross proceeds received by Company in connection with such issuance are simultaneously used by Company to make a payment under the Notes and/or a redemption of the Preferred Shares under the Certificate of Designation; (ii) following a breach of Section 4(v) above, Investor shall have the right to seek injunctive relief from a court or arbitrator invalidating such lock-up; and (iii) if Company enters into a definitive agreement that contemplates a Fundamental Transaction (as defined in the Notes), unless such agreement contains a closing condition that the Notes are repaid in full and that the Preferred Shares are redeemed in full upon consummation of the transaction or Investor has provided its written consent in writing to such Fundamental Transaction, Investor shall have the right to seek injunctive relief from a court or arbitrator preventing the consummation of such transaction. Company specifically acknowledges that Investor’s right to obtain specific performance constitutes bargained for leverage and that the loss of such leverage would result in irreparable harm to Investor. For the avoidance of doubt, in the event Investor seeks to obtain an injunction from a court or an arbitrator against the parties may be entitled under the Transaction Documents, at law or in equity. For the avoidance of doubt, in the event either party seeks to obtain an injunction from a court or an arbitrator against the other party or specific performance of any provision of any Transaction Document, such action shall not be a waiver of any right of such party under any Transaction Document, at law, or in equity, including without limitation its rights to arbitrate any Claim pursuant to the terms of the Transaction Documents, nor shall either party’s pursuit of an injunction prevent such party, under the doctrines of claim preclusion, issues preclusion, res judicata or other similar legal doctrines, from pursuing other Claims in the future in a separate arbitration.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constitute one and the same instrument. Counterparts may be delivered via exchange of electronic signatures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only and shall not form part of, or affect the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is invalid or unenforceable under any applicable statute or rule of law, then such provision shall be deemed inoperative to the extent that it may conflict therewith and shall be deemed modified to conform to such statute or rule of law. Any provision hereof which may prove invalid or unenforceable under any law shall not affect the validity or enforceability of any other provision 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contains the entire understanding of the parties with respect to the matters covered herein and therein and, except as specifically set forth herein or therein, neither Company nor Investor makes any representation, warranty, covenant or undertaking with respect to such matters. For the avoidance of doubt, all prior term sheets or other documents between Company and Investor, or any affiliate thereof, related to the transactions contemplated by the Transaction Documents (collectively,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that may have been entered into between Company and Investor, or any affiliate thereof, are hereby null and void and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in their entirety by the Transaction Documents. To the extent there is a conflict between any term set forth in any Prior Agreement and the term(s) of the Transaction Documents, the Transaction Documents shall govern.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 of this Agreement may be waived or amended other than by an instrument in writing signed by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(unless otherwise specified herein) and shall be deemed effectively given on the earliest of: (i) the date delivered, if delivered by personal delivery as against written receipt therefor or by email to an executive officer, or by facsimile (with successful transmission confirmation), (ii) the earlier of the date delivered or the third business day after deposit, postage prepaid, in the United States Postal Service by certified mail, or (iii) the earlier of the date delivered or the third business day after mailing by express courier, with delivery costs and fees prepaid, in each case, addressed to each of the other parties thereunto entitled at the following addresses (or at such other addresses as such party may designate by five (5) calendar days’ advance written notice similarly given to each of the other parties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Imunon,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Stacy R. Lindborg</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997 Lenox Drive, Suite 100</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Lawrenceville, New Jersey 08648</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Michael J. Riella</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850 10th St NW</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Investor: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John Fife</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297 Auto Mall Drive, Suite #4</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 George, Utah 84770</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Hansen Black Anderson Ashcraft PLLC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Jonathan Hansen</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3051 West Maple Loop Drive, Suite 325</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Lehi, Utah 84048</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or any of the severable rights and obligations inuring to the benefit of or to be performed by Investor hereunder may be assigned by Investor to a third party, including its affiliates, in whole or in part, without the need to obtain Company’s consent thereto, provided that such third party agrees in writing to be bound, with respect to the transferred Securities, rights or obligations, by the provisions of the Transaction Documents that apply to Investor. Company may not assign its rights or obligations under this Agreement or delegate its duties hereunder without the prior written consent of Investor.</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Company and Investor and the agreements and covenants set forth in this Agreement shall survive the Closing hereunder notwithstanding any due diligence investigation conducted by or on behalf of Investor or Company, as applicable. Company agrees to indemnify and hold harmless Investor and all its officers, directors, employees, attorneys, and agents for loss or damage arising as a result of or related to any breach or alleged breach by Company of any of its representations, warranties and covenants set forth in this Agreement or any of its covenants and obligations under this Agreement, including advancement of expenses as they are incurred. Investor agrees to indemnify and hold harmless Company and all its officers, directors, employees, attorneys, and agents for loss or damage arising as a result of or related to any breach or alleged breach by Investor of any of its representations, warranties and covenants set forth in this Agreement or any of its covenants and obligations under this Agreement, including advancement of expenses as they are incurred.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All rights, remedies, and powers conferred in this Agreement and the Transaction Documents are cumulative and not exclusive of any other rights or remedies, and shall be in addition to every other right, power, and remedy that each party may have, whether specifically granted in this Agreement or any other Transaction Document, or existing at law, in equity, or by statute, and any and all such rights and remedies may be exercised from time to time and as often and in such order as such party may deem expedient.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Attorneys’ Fees and Cost of Collection</w:t>
      </w:r>
      <w:r>
        <w:rPr>
          <w:rFonts w:ascii="Times New Roman" w:cs="Times New Roman" w:eastAsia="Times New Roman" w:hAnsi="Times New Roman"/>
          <w:sz w:val="18"/>
          <w:szCs w:val="18"/>
          <w:color w:val="auto"/>
        </w:rPr>
        <w:t>. In the event any suit, action or arbitration is filed by either party against the other to interpret or enforce any of the Transaction Documents, the unsuccessful party to such action agrees to pay to the prevailing party all costs and expenses, including reasonable attorneys’ fees incurred therein, including the same with respect to an appeal. The “prevailing party” shall be the party in whose favor a judgment is entered, regardless of whether judgment is entered on all claims asserted by such party and regardless of the amount of the judgment; or where, due to the assertion of counterclaims, judgments are entered in favor of and against both parties, then the arbitrator shall determine the “prevailing party” by taking into account the relative dollar amounts of the judgments or, if the judgments involve nonmonetary relief, the relative importance and value of such relief. Nothing herein shall restrict or impair an arbitrator’s or a court’s power to award fees and expenses for frivolous or bad faith pleading. If (i) any Note is placed in the hands of an attorney for collection or enforcement prior to commencing arbitration or legal proceedings, or is collected or enforced through any arbitration or legal proceeding, or Investor otherwise takes action to collect amounts due under the Notes or to enforce the provisions of the Notes, or (ii) there occurs any bankruptcy, reorganization, receivership of Company or other proceedings affecting Company’s creditors’ rights and involving a claim under the Notes; then Company shall pay the reasonable and documented costs incurred by Investor for such collection, enforcement or action or in connection with such bankruptcy, reorganization, receivership or other proceeding, including, without limitation, reasonable attorneys’ fees, expenses, deposition costs, and disbursements.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Agreement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AGREEMENT IRREVOCABLY WAIVES ANY AND ALL RIGHTS SUCH PARTY MAY HAVE TO DEMAND THAT ANY ACTION, PROCEEDING OR COUNTERCLAIM ARISING OUT OF OR IN ANY WAY RELATED TO THIS AGREEMENT, ANY OTHER TRANSACTION DOCUMENT, OR THE RELATIONSHIPS OF THE PARTIES HERETO BE TRIED BY JURY. THIS WAIVER EXTENDS TO ANY AND ALL RIGHTS TO DEMAND A TRIAL BY JURY ARISING UNDER COMMON LAW OR ANY APPLICABLE STATUTE, LAW, RULE OR REGULATION. FURTHER, EACH PARTY HERETO ACKNOWLEDGES THAT SUCH PARTY IS KNOWINGLY AND VOLUNTARILY WAIVING SUCH PARTY’S RIGHT TO DEMAND TRIAL BY JURY.</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this Agreement and the other Transaction Documents.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Voluntary Agreement</w:t>
      </w:r>
      <w:r>
        <w:rPr>
          <w:rFonts w:ascii="Times New Roman" w:cs="Times New Roman" w:eastAsia="Times New Roman" w:hAnsi="Times New Roman"/>
          <w:sz w:val="18"/>
          <w:szCs w:val="18"/>
          <w:color w:val="auto"/>
        </w:rPr>
        <w:t>. Company and Investor each has carefully read this Agreement and each of the other Transaction Documents and has asked any questions needed for such party to understand the terms, consequences and binding effect of this Agreement and each of the other Transaction Documents and fully understand them. Company and Investor each has had the opportunity to seek the advice of an attorney of such party’s choosing, or has waived the right to do so, and is executing this Agreement and each of the other Transaction Documents voluntarily and without any duress or undue influence by any person.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This Agreement and each of the other Transaction Documents is intended for the benefit of the parties hereto and thereto and their respective permitted successors and assigns. There are no third-party beneficiaries of this Agreement or any other Transaction Document. Nothing in this Agreement or any other Transaction Document, express or implied, is intended to confer upon any other person any rights, remedies, obligations or liabilities of any nature whatsoever.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Investor and Company have caused this Agreement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Fife</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munon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EXHIBITS:</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Exhibit A Exhibit B Exhibit C Exhibit D Exhibit E Exhibit F Exhibit G Exhibit H</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Provisions</w:t>
      </w:r>
    </w:p>
    <w:p>
      <w:pPr>
        <w:spacing w:after="0" w:line="231" w:lineRule="exact"/>
        <w:rPr>
          <w:sz w:val="20"/>
          <w:szCs w:val="20"/>
          <w:color w:val="auto"/>
        </w:rPr>
      </w:pPr>
    </w:p>
    <w:p>
      <w:pPr>
        <w:sectPr>
          <w:pgSz w:w="11900" w:h="16838" w:orient="portrait"/>
          <w:cols w:equalWidth="0" w:num="2">
            <w:col w:w="720" w:space="380"/>
            <w:col w:w="10140"/>
          </w:cols>
          <w:pgMar w:left="320" w:top="68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ARBITRATION PROVISIONS</w:t>
      </w:r>
    </w:p>
    <w:p>
      <w:pPr>
        <w:spacing w:after="0" w:line="225" w:lineRule="exact"/>
        <w:rPr>
          <w:sz w:val="20"/>
          <w:szCs w:val="20"/>
          <w:color w:val="auto"/>
        </w:rPr>
      </w:pPr>
    </w:p>
    <w:p>
      <w:pPr>
        <w:jc w:val="both"/>
        <w:ind w:firstLine="8"/>
        <w:spacing w:after="0" w:line="253" w:lineRule="auto"/>
        <w:tabs>
          <w:tab w:leader="none" w:pos="2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For purposes of these arbitration provisions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means any disputes, claims, demands, causes of action, requests for injunctive relief, requests for specific performance,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For the avoidance of doubt, Investor’s pursuit of an injunction or other Claim pursuant to these Arbitration Provisions or with a court will not later prevent Investor under the doctrines of claim preclusion, issue preclusion, res judicata or other similar legal doctrines from pursuing other Claims in a separate arbitration in the future. The parties to the Agreement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hereby agree that the Claims may be arbitrated in one or more arbitrations pursuant to these Arbitration Provisions (one for an injunction or injunctions and a separate one for all other Claims). The parties to the Agreement hereby agree that these Arbitration Provisions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Any capitalized term not defined in these Arbitration Provisions shall have the meaning set forth in the Agreement.</w:t>
      </w:r>
    </w:p>
    <w:p>
      <w:pPr>
        <w:spacing w:after="0" w:line="185"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Except as otherwise provided herein, all Claims must be submitted to arbitration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to be conducted exclusively in Salt Lake County, Utah and pursuant to the terms set forth in these Arbitration Provisions. Subject to the arbitration appeal right provided for in Paragraph 5 below (the “</w:t>
      </w:r>
      <w:r>
        <w:rPr>
          <w:rFonts w:ascii="Times New Roman" w:cs="Times New Roman" w:eastAsia="Times New Roman" w:hAnsi="Times New Roman"/>
          <w:sz w:val="18"/>
          <w:szCs w:val="18"/>
          <w:b w:val="1"/>
          <w:bCs w:val="1"/>
          <w:color w:val="auto"/>
        </w:rPr>
        <w:t>Appeal Right</w:t>
      </w:r>
      <w:r>
        <w:rPr>
          <w:rFonts w:ascii="Times New Roman" w:cs="Times New Roman" w:eastAsia="Times New Roman" w:hAnsi="Times New Roman"/>
          <w:sz w:val="18"/>
          <w:szCs w:val="18"/>
          <w:color w:val="auto"/>
        </w:rPr>
        <w:t>”), the parties agree that the award of the arbitrator rendered pursuant to Paragraph 4 below (the “</w:t>
      </w:r>
      <w:r>
        <w:rPr>
          <w:rFonts w:ascii="Times New Roman" w:cs="Times New Roman" w:eastAsia="Times New Roman" w:hAnsi="Times New Roman"/>
          <w:sz w:val="18"/>
          <w:szCs w:val="18"/>
          <w:b w:val="1"/>
          <w:bCs w:val="1"/>
          <w:color w:val="auto"/>
        </w:rPr>
        <w:t>Arbitration Award</w:t>
      </w:r>
      <w:r>
        <w:rPr>
          <w:rFonts w:ascii="Times New Roman" w:cs="Times New Roman" w:eastAsia="Times New Roman" w:hAnsi="Times New Roman"/>
          <w:sz w:val="18"/>
          <w:szCs w:val="18"/>
          <w:color w:val="auto"/>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reasonable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(with respect to monetary awards) at the rate specified in the Note for Default Interest both before and after the Arbitration Award. Judgment upon the Arbitration Award will be entered and enforced by any state or federal court sitting in Salt Lake County, Utah.</w:t>
      </w:r>
    </w:p>
    <w:p>
      <w:pPr>
        <w:spacing w:after="0" w:line="18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Arbitration Act</w:t>
      </w:r>
      <w:r>
        <w:rPr>
          <w:rFonts w:ascii="Times New Roman" w:cs="Times New Roman" w:eastAsia="Times New Roman" w:hAnsi="Times New Roman"/>
          <w:sz w:val="18"/>
          <w:szCs w:val="18"/>
          <w:color w:val="auto"/>
        </w:rPr>
        <w:t>. The parties hereby incorporate herein the provisions and procedures set forth in the Utah Uniform Arbitration Act, U.C.A. § 78B-</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(as amended or superseded from time to time, the “</w:t>
      </w:r>
      <w:r>
        <w:rPr>
          <w:rFonts w:ascii="Times New Roman" w:cs="Times New Roman" w:eastAsia="Times New Roman" w:hAnsi="Times New Roman"/>
          <w:sz w:val="18"/>
          <w:szCs w:val="18"/>
          <w:b w:val="1"/>
          <w:bCs w:val="1"/>
          <w:color w:val="auto"/>
        </w:rPr>
        <w:t>Arbitration Act</w:t>
      </w:r>
      <w:r>
        <w:rPr>
          <w:rFonts w:ascii="Times New Roman" w:cs="Times New Roman" w:eastAsia="Times New Roman" w:hAnsi="Times New Roman"/>
          <w:sz w:val="18"/>
          <w:szCs w:val="18"/>
          <w:color w:val="auto"/>
        </w:rPr>
        <w:t>”). Notwithstanding the foregoing, pursuant to, and to the maximum extent permitted by, Section 105 of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spacing w:after="0" w:line="18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Proceedings</w:t>
      </w:r>
      <w:r>
        <w:rPr>
          <w:rFonts w:ascii="Times New Roman" w:cs="Times New Roman" w:eastAsia="Times New Roman" w:hAnsi="Times New Roman"/>
          <w:sz w:val="18"/>
          <w:szCs w:val="18"/>
          <w:color w:val="auto"/>
        </w:rPr>
        <w:t>. Arbitration between the parties will be subject to the following:</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Initiation of Arbitration</w:t>
      </w:r>
      <w:r>
        <w:rPr>
          <w:rFonts w:ascii="Times New Roman" w:cs="Times New Roman" w:eastAsia="Times New Roman" w:hAnsi="Times New Roman"/>
          <w:sz w:val="18"/>
          <w:szCs w:val="18"/>
          <w:color w:val="auto"/>
        </w:rPr>
        <w:t>. Pursuant to Section 110 of the Arbitration Act, the parties agree that a party may initiate Arbitration by giving written notice to the other party (“</w:t>
      </w:r>
      <w:r>
        <w:rPr>
          <w:rFonts w:ascii="Times New Roman" w:cs="Times New Roman" w:eastAsia="Times New Roman" w:hAnsi="Times New Roman"/>
          <w:sz w:val="18"/>
          <w:szCs w:val="18"/>
          <w:b w:val="1"/>
          <w:bCs w:val="1"/>
          <w:color w:val="auto"/>
        </w:rPr>
        <w:t>Arbitration Notice</w:t>
      </w:r>
      <w:r>
        <w:rPr>
          <w:rFonts w:ascii="Times New Roman" w:cs="Times New Roman" w:eastAsia="Times New Roman" w:hAnsi="Times New Roman"/>
          <w:sz w:val="18"/>
          <w:szCs w:val="18"/>
          <w:color w:val="auto"/>
        </w:rPr>
        <w:t>”) in the same manner that notice is permitted under Section 7.9 of the Agreement (the “</w:t>
      </w:r>
      <w:r>
        <w:rPr>
          <w:rFonts w:ascii="Times New Roman" w:cs="Times New Roman" w:eastAsia="Times New Roman" w:hAnsi="Times New Roman"/>
          <w:sz w:val="18"/>
          <w:szCs w:val="18"/>
          <w:b w:val="1"/>
          <w:bCs w:val="1"/>
          <w:color w:val="auto"/>
        </w:rPr>
        <w:t>Notice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Arbitration Notice may not be given by email or fax. Arbitration will be deemed initiated as of the date that the Arbitration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is deemed delivered to such other party under the Notice Provision (the “</w:t>
      </w:r>
      <w:r>
        <w:rPr>
          <w:rFonts w:ascii="Times New Roman" w:cs="Times New Roman" w:eastAsia="Times New Roman" w:hAnsi="Times New Roman"/>
          <w:sz w:val="18"/>
          <w:szCs w:val="18"/>
          <w:b w:val="1"/>
          <w:bCs w:val="1"/>
          <w:color w:val="auto"/>
        </w:rPr>
        <w:t>Service Date</w:t>
      </w:r>
      <w:r>
        <w:rPr>
          <w:rFonts w:ascii="Times New Roman" w:cs="Times New Roman" w:eastAsia="Times New Roman" w:hAnsi="Times New Roman"/>
          <w:sz w:val="18"/>
          <w:szCs w:val="18"/>
          <w:color w:val="auto"/>
        </w:rPr>
        <w:t>”). After the Service Date, information may be delivered, and notices may be given, by email or fax pursuant to the Notice Provision or any other method permitted thereunder. The Arbitration Notice must describe the nature of the controversy, the remedies sought, and the election to commence Arbitration proceedings. All Claims in the Arbitration Notice must be pleaded consistent with the Utah Rules of Civil Procedure.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Selection and Payment of Arbitrator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5" w:lineRule="auto"/>
        <w:tabs>
          <w:tab w:leader="none" w:pos="9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calendar days after the Service Date, Investor shall select and submit to Company the names of three (3) arbitrators that are designated as “neutrals” or qualified arbitrators by Utah ADR Services (</w:t>
      </w:r>
      <w:r>
        <w:rPr>
          <w:rFonts w:ascii="Times New Roman" w:cs="Times New Roman" w:eastAsia="Times New Roman" w:hAnsi="Times New Roman"/>
          <w:sz w:val="18"/>
          <w:szCs w:val="18"/>
          <w:u w:val="single" w:color="auto"/>
          <w:color w:val="auto"/>
        </w:rPr>
        <w:t>http://www.utahadrservices.com</w:t>
      </w:r>
      <w:r>
        <w:rPr>
          <w:rFonts w:ascii="Times New Roman" w:cs="Times New Roman" w:eastAsia="Times New Roman" w:hAnsi="Times New Roman"/>
          <w:sz w:val="18"/>
          <w:szCs w:val="18"/>
          <w:color w:val="auto"/>
        </w:rPr>
        <w:t>) (such three (3) designated persons hereunder are referred to herein as the “</w:t>
      </w:r>
      <w:r>
        <w:rPr>
          <w:rFonts w:ascii="Times New Roman" w:cs="Times New Roman" w:eastAsia="Times New Roman" w:hAnsi="Times New Roman"/>
          <w:sz w:val="18"/>
          <w:szCs w:val="18"/>
          <w:b w:val="1"/>
          <w:bCs w:val="1"/>
          <w:color w:val="auto"/>
        </w:rPr>
        <w:t>Proposed Arbitrators</w:t>
      </w:r>
      <w:r>
        <w:rPr>
          <w:rFonts w:ascii="Times New Roman" w:cs="Times New Roman" w:eastAsia="Times New Roman" w:hAnsi="Times New Roman"/>
          <w:sz w:val="18"/>
          <w:szCs w:val="18"/>
          <w:color w:val="auto"/>
        </w:rPr>
        <w:t>”). For the avoidance of doubt, each Proposed Arbitrator must be qualified as a “neutral” with Utah ADR Services. Within five (5) calendar days after Investor has submitted to Company the names of the Proposed Arbitrators, Company must select, by written notice to Investor, one (1) of the Proposed Arbitrators to act as the arbitrator for the parties under these Arbitration Provisions. If Company fails to select one of the Proposed Arbitrators in writing within such 5-day period, then Investor may select the arbitrator from the Proposed Arbitrators by providing written notice of such selection to Company.</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Investor fails to submit to Company the Proposed Arbitrators within ten (10) calendar days after the Service Date pursuant to subparagraph</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Company may at any time prior to Investor so designating the Proposed Arbitrators, identify the names of three (3) arbitrators that are designated as “neutrals” or qualified arbitrators by Utah ADR Service by written notice to Investor. Investor may then, within five (5) calendar days after Company has submitted notice of its Proposed Arbitrators to Investor, select, by written notice to Company, one (1) of the Proposed Arbitrators to act as the arbitrator for the parties under these Arbitration Provisions. If Investor fails to select in writing and within such 5-day period one (1) of the three (3) Proposed Arbitrators selected by Company, then Company may select the arbitrator from its three (3) previously selected Proposed Arbitrators by providing written notice of such selection to Investor.</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Arbitrator chosen to serve as arbitrator declines or is otherwise unable to serve as arbitrator, then the party that selected such Proposed Arbitrator may select one (1) of the other two (2) Proposed Arbitrators within three (3) calendar days of the date the chosen Proposed Arbitrator declines or notifies the parties he or she is unable to serve as arbitrator. If all three (3) Proposed Arbitrators decline or are otherwise unable to serve as arbitrator, then the arbitrator selection process shall begin again in accordance with this Paragraph 4.2.</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Proposed Arbitrator selected pursuant to this Paragraph 4.2 agrees in writing (including via email) delivered to both parties to serve as the arbitrator hereunder is referred to herein as the “</w:t>
      </w:r>
      <w:r>
        <w:rPr>
          <w:rFonts w:ascii="Times New Roman" w:cs="Times New Roman" w:eastAsia="Times New Roman" w:hAnsi="Times New Roman"/>
          <w:sz w:val="18"/>
          <w:szCs w:val="18"/>
          <w:b w:val="1"/>
          <w:bCs w:val="1"/>
          <w:color w:val="auto"/>
        </w:rPr>
        <w:t>Arbitration Commencement Date</w:t>
      </w:r>
      <w:r>
        <w:rPr>
          <w:rFonts w:ascii="Times New Roman" w:cs="Times New Roman" w:eastAsia="Times New Roman" w:hAnsi="Times New Roman"/>
          <w:sz w:val="18"/>
          <w:szCs w:val="18"/>
          <w:color w:val="auto"/>
        </w:rPr>
        <w:t>”. If an arbitrator resigns or is unable to act during the Arbitration, a replacement arbitrator shall be chosen in accordance with this Paragraph 4.2 to continue the Arbitration. If Utah ADR Services ceases to exist or to provide a list of neutrals and there is no successor thereto, then the arbitrator shall be selected under the then prevailing rules of the American Arbitration Association.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4.10 below, the cost of the arbitrator must be paid equally by both parties. Subject to Paragraph 4.10 below, if one party refuses or fails to pay its portion of the arbitrator fee, then the other party can advance such unpaid amount (subject to the accrual of Default Interest thereupon), with such amount being added to or subtracted from, as applicable, the Arbitration Award.</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Applicability of Certain Utah Rules</w:t>
      </w:r>
      <w:r>
        <w:rPr>
          <w:rFonts w:ascii="Times New Roman" w:cs="Times New Roman" w:eastAsia="Times New Roman" w:hAnsi="Times New Roman"/>
          <w:sz w:val="18"/>
          <w:szCs w:val="18"/>
          <w:color w:val="auto"/>
        </w:rPr>
        <w:t>. The parties agree that the Arbitration shall be conducted generally in accordance with the Utah Rules of Civil Procedure and the Utah Rules of Evidence. More specifically, the Utah Rules of Civil Procedure shall apply, without limitation, to the filing of any pleadings, motions or memoranda, the conducting of discovery, and the taking of any depositions. The Utah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Utah Rules of Civil Procedure or the Utah Rules of Evidence and these Arbitration Provisions, these Arbitration Provisions shall control.</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Answer and Default</w:t>
      </w:r>
      <w:r>
        <w:rPr>
          <w:rFonts w:ascii="Times New Roman" w:cs="Times New Roman" w:eastAsia="Times New Roman" w:hAnsi="Times New Roman"/>
          <w:sz w:val="18"/>
          <w:szCs w:val="18"/>
          <w:color w:val="auto"/>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Related Litigation</w:t>
      </w:r>
      <w:r>
        <w:rPr>
          <w:rFonts w:ascii="Times New Roman" w:cs="Times New Roman" w:eastAsia="Times New Roman" w:hAnsi="Times New Roman"/>
          <w:sz w:val="18"/>
          <w:szCs w:val="18"/>
          <w:color w:val="auto"/>
        </w:rPr>
        <w:t>. The party that delivers the Arbitration Notice to the other party shall have the option to also commence concurrent legal proceedings with any state or federal court sitting in Salt Lake County, Utah (“</w:t>
      </w:r>
      <w:r>
        <w:rPr>
          <w:rFonts w:ascii="Times New Roman" w:cs="Times New Roman" w:eastAsia="Times New Roman" w:hAnsi="Times New Roman"/>
          <w:sz w:val="18"/>
          <w:szCs w:val="18"/>
          <w:b w:val="1"/>
          <w:bCs w:val="1"/>
          <w:color w:val="auto"/>
        </w:rPr>
        <w:t>Litigation Proceedings</w:t>
      </w:r>
      <w:r>
        <w:rPr>
          <w:rFonts w:ascii="Times New Roman" w:cs="Times New Roman" w:eastAsia="Times New Roman" w:hAnsi="Times New Roman"/>
          <w:sz w:val="18"/>
          <w:szCs w:val="18"/>
          <w:color w:val="auto"/>
        </w:rPr>
        <w:t>”), subject to the following: (a) the complaint in the Litigation Proceedings is to be substantially similar to the claims set forth in the Arbitration Notice, provided that an additional cause of action to compel arbitration will also be included therein, (b) so long as the other party files an answer to the complaint in the Litigation Proceedings and an answer to the Arbitration Notice, the Litigation Proceedings will be stayed pending an Arbitration Award (or Appeal Panel Award (defined below), as applicable) hereunder, (c) if the other party fails to file an answer in the Litigation Proceedings or an answer in the Arbitration proceedings, then the party initiating Arbitration shall be entitled to a default judgment consistent with the relief requested, to be entered in the Litigation Proceedings, and (d) any legal or procedural issue arising under the Arbitration Act that requires a decision of a court of competent jurisdiction may be determined in the Litigation Proceedings. Any award of the arbitrator (or of the Appeal Panel (defined below)) may be entered in such Litigation Proceedings pursuant to the Arbitration Act. In the event either party successfully petitions a court to compel arbitration, the losing party in such action shall be required to pay the prevailing party’s reasonable attorneys’ fees and costs incurred in connection with such action.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i w:val="1"/>
          <w:iCs w:val="1"/>
          <w:color w:val="auto"/>
        </w:rPr>
        <w:t>Discovery</w:t>
      </w:r>
      <w:r>
        <w:rPr>
          <w:rFonts w:ascii="Times New Roman" w:cs="Times New Roman" w:eastAsia="Times New Roman" w:hAnsi="Times New Roman"/>
          <w:sz w:val="18"/>
          <w:szCs w:val="18"/>
          <w:color w:val="auto"/>
        </w:rPr>
        <w:t>. Pursuant to Section 118(8) of the Arbitration Act, the parties agree that discovery shall be conducted as follows:</w:t>
      </w:r>
    </w:p>
    <w:p>
      <w:pPr>
        <w:spacing w:after="0" w:line="227" w:lineRule="exact"/>
        <w:rPr>
          <w:sz w:val="20"/>
          <w:szCs w:val="20"/>
          <w:color w:val="auto"/>
        </w:rPr>
      </w:pPr>
    </w:p>
    <w:p>
      <w:pPr>
        <w:jc w:val="both"/>
        <w:ind w:firstLine="656"/>
        <w:spacing w:after="0" w:line="261" w:lineRule="auto"/>
        <w:tabs>
          <w:tab w:leader="none" w:pos="8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discovery will only be allowed if the likely benefits of the proposed written discovery outweigh the burden or expense thereof, and the written discovery sought is likely to reveal information that will satisfy a specific element of a claim or defense already pleaded in the Arbitration. The party seeking written discovery shall always have the burden of showing that all of the standards and limitations set forth in these Arbitration Provisions are satisfied. The scope of discovery in the Arbitration proceedings shall also be limited as follows:</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directly connected with the transactions contemplated by the Agreement.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and information that cannot be obtained from another source or in another manner that is more convenient, less burdensome or less expensive than in the manner requested.</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allowed (i) more than fifteen (15) interrogatories (including discrete subparts), (ii) more than fifteen (15) requests for admission (including discrete subparts), (iii) more than ten (10) document requests (including discrete subparts), or (iv) more than three (3) depositions (excluding expert depositions) for a maximum of seven (7) hours per deposition. The costs associated with depositions will be borne by the party taking the deposition. The party defending the deposition will submit a notice to the party taking the deposition of the estimated reasonable attorneys’ fees that such party expects to incur in connection with defending the deposition. If the party defending the deposition fails to submit an estimate of reasonable attorneys’ fees within five (5) calendar days of its receipt of a deposition notice, then such party shall be deemed to have waived its right to the estimated reasonable attorneys’ fees. The party taking the deposition must pay the party defending the deposition the estimated reasonable attorneys’ fees prior to taking the deposition, unless such obligation is deemed to be waived as set forth in the immediately preceding sentence. If the party taking the deposition believes that the estimated reasonable attorneys’ fees are unreasonable, such party may submit the issue to the arbitrator for a decision. All depositions will be taken in Utah.</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discovery requests (including document production requests included in deposition notices) must be submitted in writing to the arbitrator and the other party. The party submitting the written discovery requests must include with such discovery requests a detailed explanation of how the proposed discovery requests satisfy the requirements of these Arbitration Provisions and the Utah Rules of Civil Procedure. The receiving party will then be allowed, within five (5) calendar days of receiving the proposed discovery requests, to submit to the arbitrator an estimate of the reasonable attorneys’ fees and costs associated with responding to such written discovery requests and a written challenge to each applicable discovery request. After receipt of an estimate of reasonable attorneys’ fees and costs and/or challenge(s) to one or more discovery requests, consistent with subparagraph (c) above, the arbitrator will within three (3) calendar days make a finding as to the likely reasonable attorneys’ fees and costs associated with responding to the discovery requests and issue an order that (i) requires the requesting party to prepay the reasonable attorneys’ fees and costs associated with responding to the discovery requests, and (ii) requires the responding party to respond to the discovery requests as limited by the arbitrator within twenty-five (25) calendar days of the arbitrator’s finding with respect to such discovery requests. If a party entitled to submit an estimate of reasonable attorneys’ fees and costs and/or a challenge to discovery requests fails to do so within such 5-day period, the arbitrator will make a finding that (A) there are no reasonable attorneys’ fees or costs associated with responding to such discovery requests, and (B) the responding party must respond to such discovery requests (as may be limited by the arbitrator) within twenty-five (25) calendar days of the arbitrator’s finding with respect to such discovery requests. Any party submitting any written discovery requests, including without limitation interrogatories, requests for production subpoenas to a party or a third party, or requests for admissions, must prepay the estimated reasonable attorneys’ fees and costs, before the responding party has any obligation to produce or respond to the same, unless such obligation is deemed waived as set forth above.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jc w:val="both"/>
        <w:ind w:firstLine="656"/>
        <w:spacing w:after="0" w:line="261" w:lineRule="auto"/>
        <w:tabs>
          <w:tab w:leader="none" w:pos="9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allow a written discovery request, the arbitrator must find that the discovery request satisfies the standards set forth in these Arbitration Provisions and the Utah Rules of Civil Procedure. The arbitrator must strictly enforce these standards. If a discovery request does not satisfy any of the standards set forth in these Arbitration Provisions or the Utah Rules of Civil Procedure, the arbitrator may modify such discovery request to satisfy the applicable standards, or strike such discovery request in whole or in part.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submit expert reports (and rebuttals thereto), provided that such reports must be submitted within sixty (60) days of the Arbitration Commencement Date. Each party will be allowed a maximum of two (2) experts. Expert reports must contain the following: (i) a complete statement of all opinions the expert will offer at trial and the basis and reasons for them; (ii) the expert’s name and qualifications, including a list of all the expert’s publications within the preceding ten (10) years, and a list of any other cases in which the expert has testified at trial or in a deposition or prepared a report within the preceding ten (10) years; and (iii) the compensation to be paid for the expert’s report and testimony. The parties are entitled to depose any other party’s expert witness one (1) time for no more than four (4) hours. An expert may not testify in a party’s case-in-chief concerning any matter not fairly disclosed in the expert report.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i w:val="1"/>
          <w:iCs w:val="1"/>
          <w:color w:val="auto"/>
        </w:rPr>
        <w:t>Dispositive Motions</w:t>
      </w:r>
      <w:r>
        <w:rPr>
          <w:rFonts w:ascii="Times New Roman" w:cs="Times New Roman" w:eastAsia="Times New Roman" w:hAnsi="Times New Roman"/>
          <w:sz w:val="18"/>
          <w:szCs w:val="18"/>
          <w:color w:val="auto"/>
        </w:rPr>
        <w:t>. Each party shall have the right to submit dispositive motions pursuant Rule 12 or Rule 56 of the Utah Rules of Civil Procedure (a “</w:t>
      </w:r>
      <w:r>
        <w:rPr>
          <w:rFonts w:ascii="Times New Roman" w:cs="Times New Roman" w:eastAsia="Times New Roman" w:hAnsi="Times New Roman"/>
          <w:sz w:val="18"/>
          <w:szCs w:val="18"/>
          <w:b w:val="1"/>
          <w:bCs w:val="1"/>
          <w:color w:val="auto"/>
        </w:rPr>
        <w:t>Dispositive Motion</w:t>
      </w:r>
      <w:r>
        <w:rPr>
          <w:rFonts w:ascii="Times New Roman" w:cs="Times New Roman" w:eastAsia="Times New Roman" w:hAnsi="Times New Roman"/>
          <w:sz w:val="18"/>
          <w:szCs w:val="18"/>
          <w:color w:val="auto"/>
        </w:rPr>
        <w:t>”). The party submitting the Dispositive Motion may, but is not required to, deliver to the arbitrator and to the other party a memorandum in support (the “</w:t>
      </w:r>
      <w:r>
        <w:rPr>
          <w:rFonts w:ascii="Times New Roman" w:cs="Times New Roman" w:eastAsia="Times New Roman" w:hAnsi="Times New Roman"/>
          <w:sz w:val="18"/>
          <w:szCs w:val="18"/>
          <w:b w:val="1"/>
          <w:bCs w:val="1"/>
          <w:color w:val="auto"/>
        </w:rPr>
        <w:t>Memorandum in Support</w:t>
      </w:r>
      <w:r>
        <w:rPr>
          <w:rFonts w:ascii="Times New Roman" w:cs="Times New Roman" w:eastAsia="Times New Roman" w:hAnsi="Times New Roman"/>
          <w:sz w:val="18"/>
          <w:szCs w:val="18"/>
          <w:color w:val="auto"/>
        </w:rPr>
        <w:t>”) of the Dispositive Motion. Within seven (7) calendar days of delivery of the Memorandum in Support, the other party shall deliver to the arbitrator and to the other party a memorandum in opposition to the Memorandum in Support (the “</w:t>
      </w:r>
      <w:r>
        <w:rPr>
          <w:rFonts w:ascii="Times New Roman" w:cs="Times New Roman" w:eastAsia="Times New Roman" w:hAnsi="Times New Roman"/>
          <w:sz w:val="18"/>
          <w:szCs w:val="18"/>
          <w:b w:val="1"/>
          <w:bCs w:val="1"/>
          <w:color w:val="auto"/>
        </w:rPr>
        <w:t>Memorandum in Opposition</w:t>
      </w:r>
      <w:r>
        <w:rPr>
          <w:rFonts w:ascii="Times New Roman" w:cs="Times New Roman" w:eastAsia="Times New Roman" w:hAnsi="Times New Roman"/>
          <w:sz w:val="18"/>
          <w:szCs w:val="18"/>
          <w:color w:val="auto"/>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 w:cs="Times New Roman" w:eastAsia="Times New Roman" w:hAnsi="Times New Roman"/>
          <w:sz w:val="18"/>
          <w:szCs w:val="18"/>
          <w:b w:val="1"/>
          <w:bCs w:val="1"/>
          <w:color w:val="auto"/>
        </w:rPr>
        <w:t>Reply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If the applicable party shall fail to deliver the Memorandum in Opposition as required above, or if the other party fails to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Reply Memorandum as required above, then the applicable party shall lose its right to so deliver the same, and the Dispositive Motion shall proceed regardless.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 Pursuant to Section 118(5) of the Arbitration Act, the arbitrator is hereby authorized and directed to issue a protective order to prevent the disclosure of privileged information and confidential information upon the written request of either party.</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i w:val="1"/>
          <w:iCs w:val="1"/>
          <w:color w:val="auto"/>
        </w:rPr>
        <w:t>Authorization; Timing; Scheduling Order</w:t>
      </w:r>
      <w:r>
        <w:rPr>
          <w:rFonts w:ascii="Times New Roman" w:cs="Times New Roman" w:eastAsia="Times New Roman" w:hAnsi="Times New Roman"/>
          <w:sz w:val="18"/>
          <w:szCs w:val="18"/>
          <w:color w:val="auto"/>
        </w:rPr>
        <w:t>. Subject to all other sections of these Arbitration Provisions, the parties hereby authorize and direct the arbitrator to take such actions and make such rulings as may be necessary to carry out the parties’ intent for the Arbitration proceedings to be efficient and expeditious. Pursuant to Section 120 of the Arbitration Act, the parties hereby agree that an Arbitration Award must be made within one hundred twenty</w:t>
      </w:r>
    </w:p>
    <w:p>
      <w:pPr>
        <w:spacing w:after="0" w:line="1"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Arbitration Commencement Date. The arbitrator is hereby authorized and directed to hold a scheduling conference within ten</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Arbitration Commencement Date in order to establish a scheduling order with various binding deadlines for discovery, expert testimony, and the submission of documents by the parties to enable the arbitrator to render a decision prior to the end of such 120-day period.</w:t>
      </w:r>
    </w:p>
    <w:p>
      <w:pPr>
        <w:spacing w:after="0" w:line="17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i w:val="1"/>
          <w:iCs w:val="1"/>
          <w:color w:val="auto"/>
        </w:rPr>
        <w:t>Motion to Vacate</w:t>
      </w:r>
      <w:r>
        <w:rPr>
          <w:rFonts w:ascii="Times New Roman" w:cs="Times New Roman" w:eastAsia="Times New Roman" w:hAnsi="Times New Roman"/>
          <w:sz w:val="18"/>
          <w:szCs w:val="18"/>
          <w:color w:val="auto"/>
        </w:rPr>
        <w:t>. Following the entry of the Arbitration Award, if either party desires to file a Motion to Vacate the Arbitration Award with a court in Salt Lake County, Utah, it must do so within the earlier of: (a) thirty (30) days of entry of the Arbitration Award; and (b) in response to the prevailing party’s Motion to Confirm the Arbitration Award.</w:t>
      </w:r>
    </w:p>
    <w:p>
      <w:pPr>
        <w:spacing w:after="0" w:line="175"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Appeal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Initiation of Appeal.</w:t>
      </w:r>
      <w:r>
        <w:rPr>
          <w:rFonts w:ascii="Times New Roman" w:cs="Times New Roman" w:eastAsia="Times New Roman" w:hAnsi="Times New Roman"/>
          <w:sz w:val="18"/>
          <w:szCs w:val="18"/>
          <w:color w:val="auto"/>
        </w:rPr>
        <w:t xml:space="preserve"> Following the entry of the Arbitration Award, either party (the “</w:t>
      </w:r>
      <w:r>
        <w:rPr>
          <w:rFonts w:ascii="Times New Roman" w:cs="Times New Roman" w:eastAsia="Times New Roman" w:hAnsi="Times New Roman"/>
          <w:sz w:val="18"/>
          <w:szCs w:val="18"/>
          <w:b w:val="1"/>
          <w:bCs w:val="1"/>
          <w:color w:val="auto"/>
        </w:rPr>
        <w:t>Appellant</w:t>
      </w:r>
      <w:r>
        <w:rPr>
          <w:rFonts w:ascii="Times New Roman" w:cs="Times New Roman" w:eastAsia="Times New Roman" w:hAnsi="Times New Roman"/>
          <w:sz w:val="18"/>
          <w:szCs w:val="18"/>
          <w:color w:val="auto"/>
        </w:rPr>
        <w:t>”) shall have a period of thirty (30) calendar days in which to notify the other party (the “</w:t>
      </w:r>
      <w:r>
        <w:rPr>
          <w:rFonts w:ascii="Times New Roman" w:cs="Times New Roman" w:eastAsia="Times New Roman" w:hAnsi="Times New Roman"/>
          <w:sz w:val="18"/>
          <w:szCs w:val="18"/>
          <w:b w:val="1"/>
          <w:bCs w:val="1"/>
          <w:color w:val="auto"/>
        </w:rPr>
        <w:t>Appellee</w:t>
      </w:r>
      <w:r>
        <w:rPr>
          <w:rFonts w:ascii="Times New Roman" w:cs="Times New Roman" w:eastAsia="Times New Roman" w:hAnsi="Times New Roman"/>
          <w:sz w:val="18"/>
          <w:szCs w:val="18"/>
          <w:color w:val="auto"/>
        </w:rPr>
        <w:t>”), in writing, that the Appellant elects to appeal (the “</w:t>
      </w:r>
      <w:r>
        <w:rPr>
          <w:rFonts w:ascii="Times New Roman" w:cs="Times New Roman" w:eastAsia="Times New Roman" w:hAnsi="Times New Roman"/>
          <w:sz w:val="18"/>
          <w:szCs w:val="18"/>
          <w:b w:val="1"/>
          <w:bCs w:val="1"/>
          <w:color w:val="auto"/>
        </w:rPr>
        <w:t>Appeal</w:t>
      </w:r>
      <w:r>
        <w:rPr>
          <w:rFonts w:ascii="Times New Roman" w:cs="Times New Roman" w:eastAsia="Times New Roman" w:hAnsi="Times New Roman"/>
          <w:sz w:val="18"/>
          <w:szCs w:val="18"/>
          <w:color w:val="auto"/>
        </w:rPr>
        <w:t>”) the Arbitration Award (such notice, an “</w:t>
      </w:r>
      <w:r>
        <w:rPr>
          <w:rFonts w:ascii="Times New Roman" w:cs="Times New Roman" w:eastAsia="Times New Roman" w:hAnsi="Times New Roman"/>
          <w:sz w:val="18"/>
          <w:szCs w:val="18"/>
          <w:b w:val="1"/>
          <w:bCs w:val="1"/>
          <w:color w:val="auto"/>
        </w:rPr>
        <w:t>Appeal Notice</w:t>
      </w:r>
      <w:r>
        <w:rPr>
          <w:rFonts w:ascii="Times New Roman" w:cs="Times New Roman" w:eastAsia="Times New Roman" w:hAnsi="Times New Roman"/>
          <w:sz w:val="18"/>
          <w:szCs w:val="18"/>
          <w:color w:val="auto"/>
        </w:rPr>
        <w:t>”) to a panel of arbitrators as provided in Paragraph 5.2 below. The date the Appellant delivers an Appeal Notice to the Appellee is referred to herein as the “</w:t>
      </w:r>
      <w:r>
        <w:rPr>
          <w:rFonts w:ascii="Times New Roman" w:cs="Times New Roman" w:eastAsia="Times New Roman" w:hAnsi="Times New Roman"/>
          <w:sz w:val="18"/>
          <w:szCs w:val="18"/>
          <w:b w:val="1"/>
          <w:bCs w:val="1"/>
          <w:color w:val="auto"/>
        </w:rPr>
        <w:t>Appeal Date</w:t>
      </w:r>
      <w:r>
        <w:rPr>
          <w:rFonts w:ascii="Times New Roman" w:cs="Times New Roman" w:eastAsia="Times New Roman" w:hAnsi="Times New Roman"/>
          <w:sz w:val="18"/>
          <w:szCs w:val="18"/>
          <w:color w:val="auto"/>
        </w:rPr>
        <w:t>”. The Appeal Notice must be delivered to the Appellee in accordance with the provisions of Paragraph 4.1 above with respect to delivery of an Arbitration Notice. In addition, together with delivery of the Appeal Notice to the Appellee, the Appellant must also pay for (and provide proof of such payment to the Appellee together with delivery of the Appeal Notice) a bond in the amount of 110% of the sum the Appellant owes to the Appellee as a result of the Arbitration Award the Appellant is appealing. In the event an Appellant delivers an Appeal Notice to the Appellee (together with proof of payment of the applicable bond) in compliance with the provisions of this Paragraph 5.1, the Appeal will occur as a matter of right and, except as specifically set forth herein, will not be further conditioned. In the event a party does not deliver an Appeal Notice (along with proof of payment of the applicable bond) to the other party within the deadline prescribed in this Paragraph 5.1, such party shall lose its right to appeal the Arbitration Award. The Arbitration Award will be considered final until the Appeal Notice has been properly delivered and the applicable appeal bond has been posted (along with proof of payment of the applicable bond). The parties acknowledge and agree that any Appeal shall be deemed part of the parties’ agreement to arbitrate for purposes of these Arbitration Provisions and the Arbitration Act.</w:t>
      </w:r>
    </w:p>
    <w:p>
      <w:pPr>
        <w:spacing w:after="0" w:line="18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Selection and Payment of Appeal Panel.</w:t>
      </w:r>
      <w:r>
        <w:rPr>
          <w:rFonts w:ascii="Times New Roman" w:cs="Times New Roman" w:eastAsia="Times New Roman" w:hAnsi="Times New Roman"/>
          <w:sz w:val="18"/>
          <w:szCs w:val="18"/>
          <w:color w:val="auto"/>
        </w:rPr>
        <w:t xml:space="preserve"> In the event an Appellant delivers an Appeal Notice to the Appellee (together with proof of payment of the applicable bond) in compliance with the provisions of Paragraph 5.1 above, the Appeal will be heard by a three (3) person arbitration panel (the “</w:t>
      </w:r>
      <w:r>
        <w:rPr>
          <w:rFonts w:ascii="Times New Roman" w:cs="Times New Roman" w:eastAsia="Times New Roman" w:hAnsi="Times New Roman"/>
          <w:sz w:val="18"/>
          <w:szCs w:val="18"/>
          <w:b w:val="1"/>
          <w:bCs w:val="1"/>
          <w:color w:val="auto"/>
        </w:rPr>
        <w:t>Appeal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Panel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56"/>
        <w:spacing w:after="0" w:line="254" w:lineRule="auto"/>
        <w:tabs>
          <w:tab w:leader="none" w:pos="8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calendar days after the Appeal Date, the Appellee shall select and submit to the Appellant the names of five (5) arbitrators that are designated as “neutrals” or qualified arbitrators by Utah ADR Services (</w:t>
      </w:r>
      <w:r>
        <w:rPr>
          <w:rFonts w:ascii="Times New Roman" w:cs="Times New Roman" w:eastAsia="Times New Roman" w:hAnsi="Times New Roman"/>
          <w:sz w:val="18"/>
          <w:szCs w:val="18"/>
          <w:u w:val="single" w:color="auto"/>
          <w:color w:val="auto"/>
        </w:rPr>
        <w:t>http://www.utahadrservices.com</w:t>
      </w:r>
      <w:r>
        <w:rPr>
          <w:rFonts w:ascii="Times New Roman" w:cs="Times New Roman" w:eastAsia="Times New Roman" w:hAnsi="Times New Roman"/>
          <w:sz w:val="18"/>
          <w:szCs w:val="18"/>
          <w:color w:val="auto"/>
        </w:rPr>
        <w:t>) (such five (5) designated persons hereunder are referred to herein as the “</w:t>
      </w:r>
      <w:r>
        <w:rPr>
          <w:rFonts w:ascii="Times New Roman" w:cs="Times New Roman" w:eastAsia="Times New Roman" w:hAnsi="Times New Roman"/>
          <w:sz w:val="18"/>
          <w:szCs w:val="18"/>
          <w:b w:val="1"/>
          <w:bCs w:val="1"/>
          <w:color w:val="auto"/>
        </w:rPr>
        <w:t>Proposed Appeal Arbitrators</w:t>
      </w:r>
      <w:r>
        <w:rPr>
          <w:rFonts w:ascii="Times New Roman" w:cs="Times New Roman" w:eastAsia="Times New Roman" w:hAnsi="Times New Roman"/>
          <w:sz w:val="18"/>
          <w:szCs w:val="18"/>
          <w:color w:val="auto"/>
        </w:rPr>
        <w:t>”). For the avoidance of doubt, each Proposed Appeal Arbitrator must be qualified as a “neutral” with Utah ADR Services, and shall not be the arbitrator who rendered the Arbitration Award being appealed (the “</w:t>
      </w:r>
      <w:r>
        <w:rPr>
          <w:rFonts w:ascii="Times New Roman" w:cs="Times New Roman" w:eastAsia="Times New Roman" w:hAnsi="Times New Roman"/>
          <w:sz w:val="18"/>
          <w:szCs w:val="18"/>
          <w:b w:val="1"/>
          <w:bCs w:val="1"/>
          <w:color w:val="auto"/>
        </w:rPr>
        <w:t>Original Arbitrator</w:t>
      </w:r>
      <w:r>
        <w:rPr>
          <w:rFonts w:ascii="Times New Roman" w:cs="Times New Roman" w:eastAsia="Times New Roman" w:hAnsi="Times New Roman"/>
          <w:sz w:val="18"/>
          <w:szCs w:val="18"/>
          <w:color w:val="auto"/>
        </w:rPr>
        <w:t>”). Within five (5) calendar days after the Appellee has submitted to the Appellant the names of the Proposed Appeal Arbitrators, the Appellant must select, by written notice to the Appellee, three (3) of the Proposed Appeal Arbitrators to act as the members of the Appeal Panel. If the Appellant fails to select three (3) of the Proposed Appeal Arbitrators in writing within such 5-day period, then the Appellee may select such three (3) arbitrators from the Proposed Appeal Arbitrators by providing written notice of such selection to the Appellant.</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Appellee fails to submit to the Appellant the names of the Proposed Appeal Arbitrators within ten (10) calendar days after the Appeal Date pursuant to subparagraph (a) above, then the Appellant may at any time prior to the Appellee so designating the Proposed Appeal Arbitrators, identify the names of five (5) arbitrators that are designated as “neutrals” or qualified arbitrators by Utah ADR Service (none of whom may be the Original Arbitrator) by written notice to the Appellee. The Appellee may then, within five (5) calendar days after the Appellant has submitted notice of its selected arbitrators to the Appellee, select, by written notice to the Appellant, three (3) of such selected arbitrators to serve on the Appeal Panel. If the Appellee fails to select in writing within such 5-day period three (3) of the arbitrators selected by the Appellant to serve as the members of the Appeal Panel, then the Appellant may select the three (3) members of the Appeal Panel from the Appellant’s list of five (5) arbitrators by providing written notice of such selection to the Appellee.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8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selected Proposed Appeal Arbitrator declines or is otherwise unable to serve, then the party that selected such Proposed Appeal Arbitrator may select one (1) of the other five (5) designated Proposed Appeal Arbitrators within three (3) calendar days of the date a chosen Proposed Appeal Arbitrator declines or notifies the parties he or she is unable to serve as an arbitrator. If at least three (3) of the five (5) designated Proposed Appeal Arbitrators decline or are otherwise unable to serve, then the Proposed Appeal Arbitrator selection process shall begin again in accordance with this Paragraph 5.2;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Proposed Appeal Arbitrators who have already agreed to serve shall remain on the Appeal Panel.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0" w:name="page31"/>
    <w:bookmarkEnd w:id="30"/>
    <w:p>
      <w:pPr>
        <w:jc w:val="both"/>
        <w:ind w:firstLine="656"/>
        <w:spacing w:after="0" w:line="253" w:lineRule="auto"/>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all three (3) Proposed Appeal Arbitrators selected pursuant to this Paragraph 5.2 agree in writing (including via email) delivered to both the Appellant and the Appellee to serve as members of the Appeal Panel hereunder is referred to herein as the “</w:t>
      </w:r>
      <w:r>
        <w:rPr>
          <w:rFonts w:ascii="Times New Roman" w:cs="Times New Roman" w:eastAsia="Times New Roman" w:hAnsi="Times New Roman"/>
          <w:sz w:val="18"/>
          <w:szCs w:val="18"/>
          <w:b w:val="1"/>
          <w:bCs w:val="1"/>
          <w:color w:val="auto"/>
        </w:rPr>
        <w:t>Appeal Commencement Date</w:t>
      </w:r>
      <w:r>
        <w:rPr>
          <w:rFonts w:ascii="Times New Roman" w:cs="Times New Roman" w:eastAsia="Times New Roman" w:hAnsi="Times New Roman"/>
          <w:sz w:val="18"/>
          <w:szCs w:val="18"/>
          <w:color w:val="auto"/>
        </w:rPr>
        <w:t>”. No later than five (5) calendar days after the Appeal Commencement Date, the Appellee shall designate in writing (including via email) to the Appellant and the Appeal Panel the name of one (1) of the three (3) members of the Appeal Panel to serve as the lead arbitrator in the Appeal proceedings. Each member of the Appeal Panel shall be deemed an arbitrator for purposes of these Arbitration Provisions and the Arbitration Act, provided that, in conducting the Appeal, the Appeal Panel may only act or make determinations upon the approval or vote of no less than the majority vote of its members, as announced or communicated by the lead arbitrator on the Appeal Panel. If an arbitrator on the Appeal Panel ceases or is unable to act during the Appeal proceedings, a replacement arbitrator shall be chosen in accordance with Paragraph 5.2 above to continue the Appeal as a member of the Appeal Panel. If Utah ADR Services ceases to exist or to provide a list of neutrals, then the arbitrators for the Appeal Panel shall be selected under the then prevailing rules of the American Arbitration Association.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Subject to Paragraph 5.7 below, the cost of the Appeal Panel must be paid entirely by the Appellant.</w:t>
      </w:r>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Appeal Procedure.</w:t>
      </w:r>
      <w:r>
        <w:rPr>
          <w:rFonts w:ascii="Times New Roman" w:cs="Times New Roman" w:eastAsia="Times New Roman" w:hAnsi="Times New Roman"/>
          <w:sz w:val="18"/>
          <w:szCs w:val="18"/>
          <w:color w:val="auto"/>
        </w:rPr>
        <w:t xml:space="preserve"> The Appeal will be deemed an appeal of the entire Arbitration Award. In conducting the Appeal, the Appeal Panel shall conduct a de novo review of all Claims described or otherwise set forth in the Arbitration Notice. Subject to the foregoing and all other provisions of this Paragraph 5, the Appeal Panel shall conduct the Appeal in a manner the Appeal Panel considers appropriate for a fair and expeditious disposition of the Appeal, may hold one or more hearings and permit oral argument, and may review all previous evidence and discovery, together with all briefs, pleadings and other documents filed with the Original Arbitrator (as well as any documents filed with the Appeal Panel pursuant to Paragraph 5.4(a) below). Notwithstanding the foregoing, in connection with the Appeal, the Appeal Panel shall not permit the parties to conduct any additional discovery or raise any new Claims to be arbitrated, shall not permit new witnesses or affidavits, and shall not base any of its findings or determinations on the Original Arbitrator’s findings or the Arbitration Award.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Timing.</w:t>
      </w:r>
    </w:p>
    <w:p>
      <w:pPr>
        <w:spacing w:after="0" w:line="227" w:lineRule="exact"/>
        <w:rPr>
          <w:sz w:val="20"/>
          <w:szCs w:val="20"/>
          <w:color w:val="auto"/>
        </w:rPr>
      </w:pPr>
    </w:p>
    <w:p>
      <w:pPr>
        <w:jc w:val="both"/>
        <w:ind w:firstLine="656"/>
        <w:spacing w:after="0" w:line="253"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calendar days of the Appeal Commencement Date, the Appellant (i) shall deliver or cause to be delivered to the Appeal Panel copies of the Appeal Notice, all discovery conducted in connection with the Arbitration, and all briefs, pleadings and other documents filed with the Original Arbitrator (which material Appellee shall have the right to review and supplement if necessary), and (ii) may, but is not required to, deliver to the Appeal Panel and to the Appellee a Memorandum in Support of the Appellant’s arguments concerning or position with respect to all Claims, counterclaims, issues, or accountings presented or pleaded in the Arbitration. Within seven (7) calendar days of the Appellant’s delivery of the Memorandum in Support, as applicable, the Appellee shall deliver to the Appeal Panel and to the Appellant a Memorandum in Opposition to the Memorandum in Support. Within seven (7) calendar days of the Appellee’s delivery of the Memorandum in Opposition, as applicable, the Appellant shall deliver to the Appeal Panel and to the Appellee a Reply Memorandum to the Memorandum in Opposition. If the Appellant shall fail to substantially comply with the requirements of clause</w:t>
      </w:r>
    </w:p>
    <w:p>
      <w:pPr>
        <w:jc w:val="both"/>
        <w:ind w:firstLine="8"/>
        <w:spacing w:after="0" w:line="255" w:lineRule="auto"/>
        <w:tabs>
          <w:tab w:leader="none" w:pos="2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subparagraph (a), the Appellant shall lose its right to appeal the Arbitration Award, and the Arbitration Award shall be final. If the Appellee shall fail to deliver the Memorandum in Opposition as required above, or if the Appellant shall fail to deliver the Reply Memorandum as required above, then the Appellee or the Appellant, as the case may be, shall lose its right to so deliver the same, and the Appeal shall proceed regardless.</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subparagraph (a) above, the parties hereby agree that the Appeal must be heard by the Appeal Panel within thirty (30) calendar days of the Appeal Commencement Date, and that the Appeal Panel must render its decision within thirty (30) calendar days after the Appeal is heard (and in no event later than sixty (60) calendar days after the Appeal Commencement Date).</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i w:val="1"/>
          <w:iCs w:val="1"/>
          <w:color w:val="auto"/>
        </w:rPr>
        <w:t>Appeal Panel Award.</w:t>
      </w:r>
      <w:r>
        <w:rPr>
          <w:rFonts w:ascii="Times New Roman" w:cs="Times New Roman" w:eastAsia="Times New Roman" w:hAnsi="Times New Roman"/>
          <w:sz w:val="18"/>
          <w:szCs w:val="18"/>
          <w:color w:val="auto"/>
        </w:rPr>
        <w:t xml:space="preserve"> The Appeal Panel shall issue its decision (the “</w:t>
      </w:r>
      <w:r>
        <w:rPr>
          <w:rFonts w:ascii="Times New Roman" w:cs="Times New Roman" w:eastAsia="Times New Roman" w:hAnsi="Times New Roman"/>
          <w:sz w:val="18"/>
          <w:szCs w:val="18"/>
          <w:b w:val="1"/>
          <w:bCs w:val="1"/>
          <w:color w:val="auto"/>
        </w:rPr>
        <w:t>Appeal Panel Award</w:t>
      </w:r>
      <w:r>
        <w:rPr>
          <w:rFonts w:ascii="Times New Roman" w:cs="Times New Roman" w:eastAsia="Times New Roman" w:hAnsi="Times New Roman"/>
          <w:sz w:val="18"/>
          <w:szCs w:val="18"/>
          <w:color w:val="auto"/>
        </w:rPr>
        <w:t>”) through the lead arbitrator on the Appeal Panel. Notwithstanding any other provision contained herein, the Appeal Panel Award shall (a) supersede in its entirety and make of no further force or effect the Arbitration Award (provided that any protective orders issued by the Original Arbitrator shall remain in full force and effect), (b) be final and binding upon the parties, with no further rights of appeal, (c) be the sole and exclusive remedy between the parties regarding any Claims, counterclaims, issues, or accountings presented or pleaded in the Arbitration, and (d) be promptly payable in United States dollars free of any tax, deduction or offset (with respect to monetary awards). Any costs or fees, including without limitation reasonable attorneys’ fees, incurred in connection with or incident to enforcing the Appeal Panel Award shall, to the maximum extent permitted by law, be charged against the party resisting such enforcement. The Appeal Panel Award shall include Default Interest (with respect to monetary awards) at the rate specified in the Note for Default Interest both before and after the Arbitration Award. Judgment upon the Appeal Panel Award will be entered and enforced by a state or federal court sitting in Salt Lake County, Utah.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xml:space="preserve"> The Appeal Panel shall have the right to award or include in the Appeal Panel Award any relief which the Appeal Panel deems proper under the circumstances, including, without limitation, specific performance and injunctive relief, provided that the Appeal Panel may not award exemplary or punitive damages.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xml:space="preserve"> 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party)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spacing w:after="0" w:line="185"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These Arbitration Provisions shall be governed by the laws of the State of Utah without regard to the conflict of laws principles therein.</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The headings of these Arbitration Provisions are for convenience of reference only and shall not form part of, or affect the interpretation of, these Arbitration Provisions.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waiver of any provision of these Arbitration Provisions shall be effective unless it is in the form of a writing signed by the party granting the waiver.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these Arbitration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Arbitration Provisions, </w:t>
      </w: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 A-1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June 2, 2026</w:t>
            </w:r>
          </w:p>
        </w:tc>
        <w:tc>
          <w:tcPr>
            <w:tcW w:w="5300" w:type="dxa"/>
            <w:vAlign w:val="bottom"/>
          </w:tcPr>
          <w:p>
            <w:pPr>
              <w:ind w:left="3900"/>
              <w:spacing w:after="0"/>
              <w:rPr>
                <w:sz w:val="20"/>
                <w:szCs w:val="20"/>
                <w:color w:val="auto"/>
              </w:rPr>
            </w:pPr>
            <w:r>
              <w:rPr>
                <w:rFonts w:ascii="Times New Roman" w:cs="Times New Roman" w:eastAsia="Times New Roman" w:hAnsi="Times New Roman"/>
                <w:sz w:val="18"/>
                <w:szCs w:val="18"/>
                <w:color w:val="auto"/>
                <w:w w:val="98"/>
              </w:rPr>
              <w:t>U.S. $2,720,000.00</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VALUE RECEIVED, I</w:t>
      </w:r>
      <w:r>
        <w:rPr>
          <w:rFonts w:ascii="Times New Roman" w:cs="Times New Roman" w:eastAsia="Times New Roman" w:hAnsi="Times New Roman"/>
          <w:sz w:val="12"/>
          <w:szCs w:val="12"/>
          <w:color w:val="auto"/>
        </w:rPr>
        <w:t>munon</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or its successors or assigns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$2,720,000.00 and any interest, fees, charges, and late fees accrued hereunder on the date that is eighteen (18) months after the Purchase Price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accordance with the terms set forth herein and to pay interest on the Outstanding Balance at the rate of eight percent (8%) per annum from the Purchase Price Date until the same is paid in full. All interest calculations hereunder shall be computed on the basis of a 360-day year comprised of twelve (12) thirty (30) day months, shall compound daily and shall be payable in accordance with the terms of this Note. This Secured Promissory Note A-1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and made effective as of June 2, 2026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This Note is issued pursuant to that certain Securities Purchase Agreement dated June 2, 2026, as the same may be amended from time to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Borrower and Lender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Note carries an original issue discount of $200,000.00 (the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 addition, Borrower agrees to pay $20,000.00 to Lender to cover Lender’s legal, accounting and due diligence expenses incurred in connection with the purchase and sale of this Note (the “</w:t>
      </w:r>
      <w:r>
        <w:rPr>
          <w:rFonts w:ascii="Times New Roman" w:cs="Times New Roman" w:eastAsia="Times New Roman" w:hAnsi="Times New Roman"/>
          <w:sz w:val="18"/>
          <w:szCs w:val="18"/>
          <w:b w:val="1"/>
          <w:bCs w:val="1"/>
          <w:color w:val="auto"/>
        </w:rPr>
        <w:t>Transaction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 OID and the Transaction Expense Amount are included in the initial principal balance of this Note and are deemed to be fully earned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non-refundable as of the Purchase Price Date. The purchase price for this Note shall be $2,500,000.00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computed as follows: $2,720,000.00 original principal balance, less the OID and the Transaction Expense Amount.</w:t>
      </w:r>
    </w:p>
    <w:p>
      <w:pPr>
        <w:spacing w:after="0" w:line="183" w:lineRule="exact"/>
        <w:rPr>
          <w:sz w:val="20"/>
          <w:szCs w:val="20"/>
          <w:color w:val="auto"/>
        </w:rPr>
      </w:pPr>
    </w:p>
    <w:p>
      <w:pPr>
        <w:ind w:left="840" w:hanging="1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and delivered to Lender at the address or bank account furnished by Lender to Borrower for that purpose. All payments shall be applied first to (a) Lender’s reasonable costs of collection, if any, then to (b) fees and charges, if any, then to (c) accrued and unpaid interest, and thereafter, to (d) principal.</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Borrower may pay all or any portion of the Outstanding Balance earlier than it is due. If Borrower exercises its right to prepay this Note, Borrower shall make payment to Lender of an amount in cash equal to 110% multiplied by the portion of the Outstanding Balance Borrower elects to prepay. Early payments of less than all principal, fees and interest outstanding will not, unless agreed to by Lender in writing, relieve Borrower of Borrower’s remaining obligations hereunder. For the avoidance of doubt, any payments made pursuant to Sections 3.1 or 3.2 hereof shall not be considered prepayments by the Borrower.</w:t>
      </w:r>
    </w:p>
    <w:p>
      <w:pPr>
        <w:spacing w:after="0" w:line="183" w:lineRule="exact"/>
        <w:rPr>
          <w:sz w:val="20"/>
          <w:szCs w:val="20"/>
          <w:color w:val="auto"/>
        </w:rPr>
      </w:pPr>
    </w:p>
    <w:p>
      <w:pPr>
        <w:ind w:firstLine="656"/>
        <w:spacing w:after="0" w:line="282" w:lineRule="auto"/>
        <w:tabs>
          <w:tab w:leader="none" w:pos="8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Borrower’s obligations under this Note are secured by the DACA and the Collateral Agreements (as defined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left="840" w:hanging="184"/>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Monthly Redemptions</w:t>
      </w:r>
      <w:r>
        <w:rPr>
          <w:rFonts w:ascii="Times New Roman" w:cs="Times New Roman" w:eastAsia="Times New Roman" w:hAnsi="Times New Roman"/>
          <w:sz w:val="18"/>
          <w:szCs w:val="18"/>
          <w:color w:val="auto"/>
        </w:rPr>
        <w:t>. Beginning on the six (6) month anniversary of the Purchase Price Date, Lender shall have the right, exercisable at any time in its sole and absolute discretion, to redeem up to the Maximum Monthly Redemption Amount (such amount,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per calendar month by providing written notice to Borrower (each,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The Maximum Monthly Redemption Amount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aggregated with redemptions submitted by Lender under all other A Notes (as defined in the Purchase Agreement). For the avoidance of doubt, Lender may submit to Borrower one (1) or more Redemption Notices in any given calendar month. Upon receipt of a Redemption Notice, Borrower shall pay the applicable Redemption Amount to Lender within two (2) Trading Days (the “</w:t>
      </w:r>
      <w:r>
        <w:rPr>
          <w:rFonts w:ascii="Times New Roman" w:cs="Times New Roman" w:eastAsia="Times New Roman" w:hAnsi="Times New Roman"/>
          <w:sz w:val="18"/>
          <w:szCs w:val="18"/>
          <w:b w:val="1"/>
          <w:bCs w:val="1"/>
          <w:color w:val="auto"/>
        </w:rPr>
        <w:t>Redemption Amount Due Date</w:t>
      </w:r>
      <w:r>
        <w:rPr>
          <w:rFonts w:ascii="Times New Roman" w:cs="Times New Roman" w:eastAsia="Times New Roman" w:hAnsi="Times New Roman"/>
          <w:sz w:val="18"/>
          <w:szCs w:val="18"/>
          <w:color w:val="auto"/>
        </w:rPr>
        <w:t>”). If Borrower fails to pay the Redemption Amount on or before the Redemption Amount Due Date, the Outstanding Balance shall automatically and without further action by any party be increased on a one-time basis by an amount equal to twenty percent (20%) of the Redemption Amount (the “</w:t>
      </w:r>
      <w:r>
        <w:rPr>
          <w:rFonts w:ascii="Times New Roman" w:cs="Times New Roman" w:eastAsia="Times New Roman" w:hAnsi="Times New Roman"/>
          <w:sz w:val="18"/>
          <w:szCs w:val="18"/>
          <w:b w:val="1"/>
          <w:bCs w:val="1"/>
          <w:color w:val="auto"/>
        </w:rPr>
        <w:t>Redemption Failure Balance Increase Amount</w:t>
      </w:r>
      <w:r>
        <w:rPr>
          <w:rFonts w:ascii="Times New Roman" w:cs="Times New Roman" w:eastAsia="Times New Roman" w:hAnsi="Times New Roman"/>
          <w:sz w:val="18"/>
          <w:szCs w:val="18"/>
          <w:color w:val="auto"/>
        </w:rPr>
        <w:t>”). For the avoidance of doubt, the failure by Borrower to pay the Redemption Amount on or before the Redemption Amount Due Date shall not be considered a Trigger Event (as defined below). Upon such failure to pay the Redemption Amount by the Redemption Amount Due Date, Borrower shall then pay the Redemption Amount plus the Redemption Failure Balance Increase Amount, within three (3) Trading Days of the date of the Redemption Failure Balance Increase.</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Limited Redemptions</w:t>
      </w:r>
      <w:r>
        <w:rPr>
          <w:rFonts w:ascii="Times New Roman" w:cs="Times New Roman" w:eastAsia="Times New Roman" w:hAnsi="Times New Roman"/>
          <w:sz w:val="18"/>
          <w:szCs w:val="18"/>
          <w:color w:val="auto"/>
        </w:rPr>
        <w:t>. Beginning on the six (6) month anniversary of the Purchase Price Date, if at any time thereafter a Limited Redemption Event occurs, Lender shall have the right to submit a Redemption Notice in an amount up to the Maximum Limited Redemption Amount at any time during the applicable Limited Redemption Window (“</w:t>
      </w:r>
      <w:r>
        <w:rPr>
          <w:rFonts w:ascii="Times New Roman" w:cs="Times New Roman" w:eastAsia="Times New Roman" w:hAnsi="Times New Roman"/>
          <w:sz w:val="18"/>
          <w:szCs w:val="18"/>
          <w:b w:val="1"/>
          <w:bCs w:val="1"/>
          <w:color w:val="auto"/>
        </w:rPr>
        <w:t>Limited Redemptions</w:t>
      </w:r>
      <w:r>
        <w:rPr>
          <w:rFonts w:ascii="Times New Roman" w:cs="Times New Roman" w:eastAsia="Times New Roman" w:hAnsi="Times New Roman"/>
          <w:sz w:val="18"/>
          <w:szCs w:val="18"/>
          <w:color w:val="auto"/>
        </w:rPr>
        <w:t>”). The Maximum Limited Redemption Amount will be aggregated with Limited Redemptions made under all outstanding Notes (as defined in the Purchase Agreement). Borrower must pay the applicable Limited Redemption amount to Lender within two (2) Trading Days of delivery of the applicable Redemption Notice. For the avoidance of doubt, Limited Redemptions will not count toward the Maximum Monthly Redemption Amount.</w:t>
      </w:r>
    </w:p>
    <w:p>
      <w:pPr>
        <w:spacing w:after="0" w:line="187" w:lineRule="exact"/>
        <w:rPr>
          <w:sz w:val="20"/>
          <w:szCs w:val="20"/>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 Events; Defaults; Remedies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The following are trigger events under this Note (each, a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(a) Borrower fails to pay any principal, interest, fees, charges, or any other amount hereunder when due and payable hereunder; (b) a receiver, trustee or other similar official shall be appointed over Borrower or a material part of its assets and such appointment shall remain uncontested for thirty (30) days or shall not be dismissed or discharged within sixty (60) days; (c) Borrower becomes insolvent or generally fails to pay, or admits in writing its inability to pay, its debts as they become due, subject to applicable grace periods, if any; (d) Borrower makes a general assignment for the benefit of creditors; (e) Borrower files a petition for relief under any bankruptcy, insolvency or similar law (domestic or foreign); (f) an involuntary bankruptcy proceeding is commenced or filed against Borrower and such involuntary bankruptcy proceeding shall remain uncontested for thirty (30) days or shall not be dismissed or discharged within sixty (60) days; (g) Borrower fails to observe or perform any covenant set forth in Section 4 of the Purchase Agreement; (h) the occurrence of a Fundamental Transaction without Lender’s prior written consent; (i) Borrower defaults or otherwise fails to observe or perform any covenant, obligation, condition or agreement contained herein or in any other Transaction Document (as defined in the Purchase Agreement), other than those specifically set forth in this Section 4.1 and Section 4 of the Purchase Agreement and such default or failure continues uncured for five (5) days; (j) any representation, warranty or other statement made or furnished by or on behalf of Borrower to Lender herein, in any Transaction Document, or otherwise in connection with the issuance of this Note is false, incorrect, incomplete or misleading in any material respect when made or furnished; (k) any money judgment, writ or similar process is entered or filed against Borrower or any subsidiary of Borrower or any of its property or other assets for more than $250,000.00, and shall remain unvacated, unbonded or unstayed for a period of thirty (30) calendar days unless otherwise consented to by Lender; (l) Borrower breaches any covenant or other term or condition contained in any Other Agreements; and (m) Borrower receives a delisting determination notice from the Nasdaq Listing Qualifications Department and such delisting notice is not stayed or otherwise resolved for a period of thirty (30) calendar days;.</w:t>
      </w:r>
    </w:p>
    <w:p>
      <w:pPr>
        <w:spacing w:after="0" w:line="19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Trigger Event Remedies</w:t>
      </w:r>
      <w:r>
        <w:rPr>
          <w:rFonts w:ascii="Times New Roman" w:cs="Times New Roman" w:eastAsia="Times New Roman" w:hAnsi="Times New Roman"/>
          <w:sz w:val="18"/>
          <w:szCs w:val="18"/>
          <w:color w:val="auto"/>
        </w:rPr>
        <w:t>. At any time following the occurrence of any Trigger Event, Lender may, at its option, increase the Outstanding Balance by applying the Trigger Effect (subject to the limitation set forth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At any time following the occurrence of a Trigger Event, Lender may, at its option, send written notice to Borrower demanding that Borrower cure such Trigger Event within five (5) Trading Days. If Borrower fails to cure the Trigger Event within the required five (5) Trading Day cure period, the Trigger Event will automatically become an event of default hereunder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4.1(b) - 4.1(f),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fifteen percent (15%) per annum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pursuant to this Section 4.4. No such rescission or annulment shall affect any subsequent Trigger Event or Event of Default or impair any right consequent thereon. Nothing herein shall limit Lender’s right to pursue any other remedies available to it at law or in equity.</w:t>
      </w:r>
    </w:p>
    <w:p>
      <w:pPr>
        <w:spacing w:after="0" w:line="187" w:lineRule="exact"/>
        <w:rPr>
          <w:sz w:val="20"/>
          <w:szCs w:val="20"/>
          <w:color w:val="auto"/>
        </w:rPr>
      </w:pPr>
    </w:p>
    <w:p>
      <w:pPr>
        <w:jc w:val="both"/>
        <w:ind w:firstLine="656"/>
        <w:spacing w:after="0" w:line="266" w:lineRule="auto"/>
        <w:tabs>
          <w:tab w:leader="none" w:pos="8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 No Offset</w:t>
      </w:r>
      <w:r>
        <w:rPr>
          <w:rFonts w:ascii="Times New Roman" w:cs="Times New Roman" w:eastAsia="Times New Roman" w:hAnsi="Times New Roman"/>
          <w:sz w:val="18"/>
          <w:szCs w:val="18"/>
          <w:color w:val="auto"/>
        </w:rPr>
        <w:t>. Borrower acknowledges that this Note is an unconditional, valid, binding and enforceable obligation of Borrower not subject to offset, deduction or counterclaim of any kind. Borrower hereby waives any rights of offset it now has or may have hereafter against Lender, its successors and assigns, and agrees to make the payments called for herein in accordance with the terms of this Note.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any matter related to this Note, Lender has the right to have any such opinion provided by its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By its issuance or acceptance of this Note, each party agrees to be bound by the Arbitration Provisions (as defined in the Purchase Agreement) set forth as an exhibit to the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firstLine="656"/>
        <w:spacing w:after="0" w:line="282" w:lineRule="auto"/>
        <w:tabs>
          <w:tab w:leader="none" w:pos="9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of the entire Outstanding Balance, this Note shall be deemed paid in full, shall automatically be deemed canceled, and shall not be reissued.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Note.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Borrower may not assign this Note without the prior written consent of Lender. This Note may be offered, sold, assigned or transferred by Lender to any of its affiliates or any other person without the consent of Borrower.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the subsection of the Purchase Agreement titled “Notices.”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Note is construed to be in violation of any law, such part shall be modified to achieve the objective of Borrower and Lender to the fullest extent permitted by law and the balance of this Note shall remain in full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right"/>
        <w:ind w:right="799"/>
        <w:spacing w:after="0"/>
        <w:rPr>
          <w:sz w:val="20"/>
          <w:szCs w:val="20"/>
          <w:color w:val="auto"/>
        </w:rPr>
      </w:pPr>
      <w:r>
        <w:rPr>
          <w:rFonts w:ascii="Times New Roman" w:cs="Times New Roman" w:eastAsia="Times New Roman" w:hAnsi="Times New Roman"/>
          <w:sz w:val="18"/>
          <w:szCs w:val="18"/>
          <w:color w:val="auto"/>
        </w:rPr>
        <w:t>IN WITNESS WHEREOF, Borrower has caused this Note to be duly executed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munon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i w:val="1"/>
          <w:iCs w:val="1"/>
          <w:color w:val="auto"/>
        </w:rPr>
        <w:t>[Signature Page to Secured Promissory Note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shares of Borrower’s common stock, par value $0.01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w:t>
      </w:r>
    </w:p>
    <w:p>
      <w:pPr>
        <w:spacing w:after="0" w:line="1" w:lineRule="exact"/>
        <w:rPr>
          <w:sz w:val="20"/>
          <w:szCs w:val="20"/>
          <w:color w:val="auto"/>
        </w:rPr>
      </w:pPr>
    </w:p>
    <w:p>
      <w:pPr>
        <w:jc w:val="both"/>
        <w:ind w:firstLine="8"/>
        <w:spacing w:after="0" w:line="251" w:lineRule="auto"/>
        <w:tabs>
          <w:tab w:leader="none" w:pos="2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shall, directly or indirectly, in one or more related transactions, sell, lease, license, assign, transfer, convey or otherwise dispose of all or substantially all of its respective properties or assets to any other person or entity, (iii) Borrower or any of its subsidiaries shall, directly or indirectly, in one or more related transactions, allow any other person or entity to make a purchase, tender or exchange offer that is accepted by the holders of more than fifty percent (50%) of the outstanding shares of voting stock of Borrower (not including any shares of voting stock of Borrower held by the person or persons making or party to, or associated or affiliated with the persons or entities making or party to, such purchase, tender or exchange offer), (iv) 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fifty percent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(v) Borrower or any of its subsidiaries shall, directly or indirectly, in one or more related transactions, reorganize, recapitalize or reclassify the Common Shares or preferred stock, other than an increase in the number of authorized Common Shares, (vi) Borrower transfers any material asset to any subsidiary, affiliate, person or entity under common ownership or control with Borrower, or (vii) Borrower pays or makes any monetary or non-monetary dividend or distribution to its shareholders; or (b) any “person” or “group” (as these terms are used for purposes of Sections 13(d) and 14(d) of the 1934 Act (as defined in the Purchase Agreement) and the rules and regulations promulgated thereunder) is or shall become the “beneficial owner” (as defined in Rule 13d-3 under the 1934 Act), directly or indirectly, of more than fifty percent (50%) of the aggregate ordinary voting power represented by issued and outstanding voting stock of Borrower. For the avoidance of doubt, Borrower or any of its subsidiaries entering into a definitive agreement that contemplates a Fundamental Transaction will be deemed to be a Fundamental Transaction unless such agreement contains a closing condition that this Note is repaid in full upon consummation of the transaction.</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Limited Redemption Event</w:t>
      </w:r>
      <w:r>
        <w:rPr>
          <w:rFonts w:ascii="Times New Roman" w:cs="Times New Roman" w:eastAsia="Times New Roman" w:hAnsi="Times New Roman"/>
          <w:sz w:val="18"/>
          <w:szCs w:val="18"/>
          <w:color w:val="auto"/>
        </w:rPr>
        <w:t>” means that on any given Trading Day the Common Shares trade at a price that is at least fifteen percent (15%) greater than the Nasdaq Minimum Price for such Trading Day.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Limited Redemption Window</w:t>
      </w:r>
      <w:r>
        <w:rPr>
          <w:rFonts w:ascii="Times New Roman" w:cs="Times New Roman" w:eastAsia="Times New Roman" w:hAnsi="Times New Roman"/>
          <w:sz w:val="18"/>
          <w:szCs w:val="18"/>
          <w:color w:val="auto"/>
        </w:rPr>
        <w:t>” means the period beginning on the date a Limited Redemption Event occurs and ending on the date that is five (5) Trading Days after the date the Limited Redemption Event occurs. For the avoidance of doubt, more than one (1) Limited Redemption Window may be open at the same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Maximum Limited Redemption Amount</w:t>
      </w:r>
      <w:r>
        <w:rPr>
          <w:rFonts w:ascii="Times New Roman" w:cs="Times New Roman" w:eastAsia="Times New Roman" w:hAnsi="Times New Roman"/>
          <w:sz w:val="18"/>
          <w:szCs w:val="18"/>
          <w:color w:val="auto"/>
        </w:rPr>
        <w:t>” means five percent (5%) of the cumulative daily dollar trading volume on the Trading Day that a Limited Redemption Event occurs; measured as the cumulative dollar trading volume on all exchanges beginning at 4:01 PM Eastern Time on the Trading Day before the occurrence of the Limited Redemption Event and ending at 4:00 PM Eastern Time on the Trading Day during which the Limited Redemption Event occurs.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Maximum Monthly Redemption Amount</w:t>
      </w:r>
      <w:r>
        <w:rPr>
          <w:rFonts w:ascii="Times New Roman" w:cs="Times New Roman" w:eastAsia="Times New Roman" w:hAnsi="Times New Roman"/>
          <w:sz w:val="18"/>
          <w:szCs w:val="18"/>
          <w:color w:val="auto"/>
        </w:rPr>
        <w:t>” means $250,000.00.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Nasdaq Minimum Price</w:t>
      </w:r>
      <w:r>
        <w:rPr>
          <w:rFonts w:ascii="Times New Roman" w:cs="Times New Roman" w:eastAsia="Times New Roman" w:hAnsi="Times New Roman"/>
          <w:sz w:val="18"/>
          <w:szCs w:val="18"/>
          <w:color w:val="auto"/>
        </w:rPr>
        <w:t>” means the Minimum Price as defined under Nasdaq Rule 5635(d).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Borrower (or an affiliate), on the one hand, and Lender (or an affiliate), on the other hand, and (b) any financing agreement or a material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offset, or otherwise, plus the OID, the Transaction Expense Amount, accrued but unpaid interest (including Default Interest), collection and enforcements costs (including attorneys’ fees) incurred by Lender, transfer, stamp, issuance and similar taxes and fees incurred under this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Borrower.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Borrower’s principal trading market (or such other principal market for the Common Shares) is open for trading.</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Trigger Event occurred by (a) fifteen percent (15%) for each occurrence of any Major Trigger Event, or (b) five percent (5%) for each occurrence of any Minor Trigger Event, and then adding the resulting product to the Outstanding Balance as of the date the applicable Trigger Event occurred, with the sum of the foregoing then becoming the Outstanding Balance under this Note as of the date the applicable Trigger Event occurred; provided that the Trigger Effect may only be applied three (3) times hereunder with respect to Major Trigger Events and three (3) times hereunder with respect to Minor Trigger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 B</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June 2, 2026</w:t>
            </w:r>
          </w:p>
        </w:tc>
        <w:tc>
          <w:tcPr>
            <w:tcW w:w="5300" w:type="dxa"/>
            <w:vAlign w:val="bottom"/>
          </w:tcPr>
          <w:p>
            <w:pPr>
              <w:ind w:left="3900"/>
              <w:spacing w:after="0"/>
              <w:rPr>
                <w:sz w:val="20"/>
                <w:szCs w:val="20"/>
                <w:color w:val="auto"/>
              </w:rPr>
            </w:pPr>
            <w:r>
              <w:rPr>
                <w:rFonts w:ascii="Times New Roman" w:cs="Times New Roman" w:eastAsia="Times New Roman" w:hAnsi="Times New Roman"/>
                <w:sz w:val="18"/>
                <w:szCs w:val="18"/>
                <w:color w:val="auto"/>
                <w:w w:val="98"/>
              </w:rPr>
              <w:t>U.S. $5,000,000.00</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VALUE RECEIVED, I</w:t>
      </w:r>
      <w:r>
        <w:rPr>
          <w:rFonts w:ascii="Times New Roman" w:cs="Times New Roman" w:eastAsia="Times New Roman" w:hAnsi="Times New Roman"/>
          <w:sz w:val="12"/>
          <w:szCs w:val="12"/>
          <w:color w:val="auto"/>
        </w:rPr>
        <w:t>munon</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2"/>
          <w:szCs w:val="12"/>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LLC, a Utah limited liability company, or its successors or assigns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$5,000,000.00 and any interest, fees, charges, and late fees accrued hereunder on the date that is eighteen (18) months after the Purchase Price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in accordance with the terms set forth herein and to pay interest on the Outstanding Balance at the rate of five percent (5%) per annum from the Purchase Price Date until the same is paid in full. All interest calculations hereunder shall be computed on the basis of a 360-day year comprised of twelve (12) thirty (30) day months, shall compound daily and shall be payable in accordance with the terms of this Note. This Secured Promissory Note B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and made effective as of June 2, 2026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This Note is issued pursuant to that certain Securities Purchase Agreement dated June 2, 2026, as the same may be amended from time to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Borrower and Lender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92" w:lineRule="exact"/>
        <w:rPr>
          <w:sz w:val="20"/>
          <w:szCs w:val="20"/>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and delivered to Lender at the address or bank account furnished by Lender to Borrower for that purpose. All payments shall be applied first to (a) Lender’s reasonable costs of collection, if any, then to (b) fees and charges, if any, then to (c) accrued and unpaid interest, and thereafter, to (d) principal.</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Borrower may pay all or any portion of the Outstanding Balance earlier than it is due. If Borrower exercises its right to prepay this Note, Borrower shall make payment to Lender of an amount in cash equal to 110% multiplied by the portion of the Outstanding Balance Borrower elects to prepay. Early payments of less than all principal, fees and interest outstanding will not, unless agreed to by Lender in writing, relieve Borrower of Borrower’s remaining obligations hereunder. For the avoidance of doubt, any payments made pursuant to Section 2 hereof shall not be considered prepayments by the Borrower.</w:t>
      </w:r>
    </w:p>
    <w:p>
      <w:pPr>
        <w:spacing w:after="0" w:line="183" w:lineRule="exact"/>
        <w:rPr>
          <w:sz w:val="20"/>
          <w:szCs w:val="20"/>
          <w:color w:val="auto"/>
        </w:rPr>
      </w:pPr>
    </w:p>
    <w:p>
      <w:pPr>
        <w:jc w:val="both"/>
        <w:ind w:firstLine="656"/>
        <w:spacing w:after="0" w:line="257" w:lineRule="auto"/>
        <w:tabs>
          <w:tab w:leader="none" w:pos="84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Borrower’s obligations under this Note are secured by the Collateral Agreements (as defined in the Purchase Agreement) and the DACA (as defined in the Purchase Agreement). Borrower acknowledges and agrees that Lender is authorized to send a Lender Instruction Notice (as defined in the DACA) to the Bank (as defined in the DACA) directing the disposition of the funds held in the Deposit Account (as defined in the DACA):</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Trigger Event (as defined below); or (b) upon Lender’s receipt of a notice from Borrower pursuant to Section 4(vii) of the Purchase Agreement or otherwise becoming aware of the event necessitating the notice.</w:t>
      </w:r>
    </w:p>
    <w:p>
      <w:pPr>
        <w:spacing w:after="0" w:line="18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Redemptions</w:t>
      </w:r>
      <w:r>
        <w:rPr>
          <w:rFonts w:ascii="Times New Roman" w:cs="Times New Roman" w:eastAsia="Times New Roman" w:hAnsi="Times New Roman"/>
          <w:sz w:val="18"/>
          <w:szCs w:val="18"/>
          <w:color w:val="auto"/>
        </w:rPr>
        <w:t>. Beginning on six (6) month anniversary of the Purchase Price Date, if at any time thereafter a Limited Redemption Event occurs, Lender shall have the right to submit a Redemption Notice in an amount up to the Maximum Limited Redemption Amount at any time during the applicable Limited Redemption Window (“</w:t>
      </w:r>
      <w:r>
        <w:rPr>
          <w:rFonts w:ascii="Times New Roman" w:cs="Times New Roman" w:eastAsia="Times New Roman" w:hAnsi="Times New Roman"/>
          <w:sz w:val="18"/>
          <w:szCs w:val="18"/>
          <w:b w:val="1"/>
          <w:bCs w:val="1"/>
          <w:color w:val="auto"/>
        </w:rPr>
        <w:t>Limited Redemptions</w:t>
      </w:r>
      <w:r>
        <w:rPr>
          <w:rFonts w:ascii="Times New Roman" w:cs="Times New Roman" w:eastAsia="Times New Roman" w:hAnsi="Times New Roman"/>
          <w:sz w:val="18"/>
          <w:szCs w:val="18"/>
          <w:color w:val="auto"/>
        </w:rPr>
        <w:t>”). The Maximum Limited Redemption Amount will be aggregated with Limited Redemptions made under any other outstanding Notes (as defined in the Purchase Agreement). Borrower must pay the applicable Limited Redemption amount to Lender within two (2) Trading Days of delivery of the applicable Redemption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left="840" w:hanging="184"/>
        <w:spacing w:after="0"/>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 Events; Defaults; Remedies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The following are trigger events under this Note (each, a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(a) Borrower fails to pay any principal, interest, fees, charges, or any other amount when due and payable hereunder; (b) a receiver, trustee or other similar official shall be appointed over Borrower or a material part of its assets and such appointment shall remain uncontested for thirty (30) days or shall not be dismissed or discharged within sixty (60) days; (c) Borrower becomes insolvent or generally fails to pay, or admits in writing its inability to pay, its debts as they become due, subject to applicable grace periods, if any; (d) Borrower makes a general assignment for the benefit of creditors; (e) Borrower files a petition for relief under any bankruptcy, insolvency or similar law (domestic or foreign); (f) an involuntary bankruptcy proceeding is commenced or filed against Borrower and such involuntary bankruptcy proceeding shall remain uncontested for thirty (30) days or shall not be dismissed or discharged within sixty (60) days; (g) Borrower fails to observe or perform any covenant set forth in Section 4 of the Purchase Agreement; (h) the occurrence of a Fundamental Transaction without Lender’s prior written consent; (i) Borrower defaults or otherwise fails to observe or perform any covenant, obligation, condition or agreement contained herein or in any other Transaction Document (as defined in the Purchase Agreement), in any material respect, other than those specifically set forth in this Section 4.1 and Section 4 of the Purchase Agreement and such default or failure continues uncured for five (5) days; (j) any representation, warranty or other statement made or furnished by or on behalf of Borrower to Lender herein, in any Transaction Document, or otherwise in connection with the issuance of this Note is false, incorrect, incomplete or misleading in any material respect when made or furnished; (k) any money judgment, writ or similar process is entered or filed against Borrower or any subsidiary of Borrower or any of its property or other assets for more than $250,000.00, and shall remain unvacated, unbonded or unstayed for a period of thirty (30) calendar days unless otherwise consented to by Lender; (l) Borrower breaches any covenant or other term or condition contained in any Other Agreements; and (m) Borrower receives a delisting determination notice from the Nasdaq Listing Qualifications Department and such delisting notice is not stayed or otherwise resolved for a period of thirty (30) calendar days.</w:t>
      </w:r>
    </w:p>
    <w:p>
      <w:pPr>
        <w:spacing w:after="0" w:line="19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Trigger Event Remedies</w:t>
      </w:r>
      <w:r>
        <w:rPr>
          <w:rFonts w:ascii="Times New Roman" w:cs="Times New Roman" w:eastAsia="Times New Roman" w:hAnsi="Times New Roman"/>
          <w:sz w:val="18"/>
          <w:szCs w:val="18"/>
          <w:color w:val="auto"/>
        </w:rPr>
        <w:t>. At any time following the occurrence of any Trigger Event, Lender may, at its option, increase the Outstanding Balance by applying the Trigger Effect (subject to the limitation set forth below).</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At any time following the occurrence of a Trigger Event, Lender may, at its option, send written notice to Borrower demanding that Borrower cure such Trigger Event within five (5) Trading Days. If Borrower fails to cure the Trigger Event within the required five (5) Trading Day cure period, the Trigger Event will automatically become an event of default hereunder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Default Remedies</w:t>
      </w:r>
      <w:r>
        <w:rPr>
          <w:rFonts w:ascii="Times New Roman" w:cs="Times New Roman" w:eastAsia="Times New Roman" w:hAnsi="Times New Roman"/>
          <w:sz w:val="18"/>
          <w:szCs w:val="18"/>
          <w:color w:val="auto"/>
        </w:rPr>
        <w:t>. At any time and from time to time following the occurrence of any Event of Default, Lender may accelerate this Note by written notice to Borrower, with the Outstanding Balance becoming immediately due and payable in cash at the Mandatory Default Amount. Notwithstanding the foregoing, upon the occurrence of any Trigger Event described in clauses 4.1(b) - 4.1(f), an Event of Default will be deemed to have occurred and the Outstanding Balance as of the date of the occurrence of such Trigger Event shall become immediately and automatically due and payable in cash at the Mandatory Default Amount, without any written notice required by Lender for the Trigger Event to become an Event of Default. At any time following the occurrence of any Event of Default, upon written notice given by Lender to Borrower, interest shall accrue on the Outstanding Balance beginning on the date the applicable Event of Default occurred at an interest rate equal to the lesser of fifteen percent (15%) per annum or the maximum rate permitted under applicable law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In connection with acceleration described herein, Lender need not provide, and Borrower hereby waives, any presentment, demand, protest or other notice of any kind, and Lender may immediately and without expiration of any grace period enforce any and all of its rights and remedies hereunder and all other remedies available to it under applicable law. Such acceleration may be rescinded and annulled by Lender at any time prior to payment hereunder and Lender shall have all rights as a holder of the Note until such time, if any, as Lender receives full payment pursuant to this Section 4.4. No such rescission or annulment shall affect any subsequent Trigger Event or Event of Default or impair any right consequent thereon. Nothing herein shall limit Lender’s right to pursue any other remedies available to it at law or in equity.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56"/>
        <w:spacing w:after="0" w:line="266"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 No Offset</w:t>
      </w:r>
      <w:r>
        <w:rPr>
          <w:rFonts w:ascii="Times New Roman" w:cs="Times New Roman" w:eastAsia="Times New Roman" w:hAnsi="Times New Roman"/>
          <w:sz w:val="18"/>
          <w:szCs w:val="18"/>
          <w:color w:val="auto"/>
        </w:rPr>
        <w:t>. Borrower acknowledges that this Note is an unconditional, valid, binding and enforceable obligation of Borrower not subject to offset, deduction or counterclaim of any kind. Borrower hereby waives any rights of offset it now has or may have hereafter against Lender, its successors and assigns, and agrees to make the payments called for herein in accordance with the terms of this Note.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Note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any matter related to this Note, Lender has the right to have any such opinion provided by its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Note shall be construed and enforced in accordance with, and all questions concerning the construction, validity, interpretation and performance of this Note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By its issuance or acceptance of this Note, each party agrees to be bound by the Arbitration Provisions (as defined in the Purchase Agreement) set forth as an exhibit to the Purchase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of the entire Outstanding Balance, this Note shall be deemed paid in full, shall automatically be deemed canceled, and shall not be reissued.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Note.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Borrower may not assign this Note without the prior written consent of Lender. This Note may be offered, sold, assigned or transferred by Lender to any of its affiliates or any other person without the consent of Borrower.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the subsection of the Purchase Agreement titled “Notices.”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Lender and Borrower agree that in the event Borrower fails to comply with any of the terms or provisions of this Note, Lender’s damages would be uncertain and difficult (if not impossible) to accurately estimate because of the parties’ inability to predict future interest rates, future share prices, future trading volumes and other relevant factors. Accordingly, Lender and Borrower agree that any fees, balance adjustments, Default Interest or other charges assessed under this Note are not penalties but instead are intended by the parties to be, and shall be deemed, liquidated damages.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Note is construed to be in violation of any law, such part shall be modified to achieve the objective of Borrower and Lender to the fullest extent permitted by law and the balance of this Note shall remain in full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IN WITNESS WHEREOF, Borrower has caused this Note to be duly executed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munon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18"/>
          <w:szCs w:val="18"/>
          <w:color w:val="auto"/>
        </w:rPr>
        <w:t>Stacy R. Lindborg,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 Page to Secured Promissory Note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shares of Borrower’s common stock, par value $0.01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(a) (i) Borrower or any of its subsidiaries shall, directly or indirectly, in one or more related transactions, consolidate or merge with or into (whether or not Borrower or any of its subsidiaries is the surviving corporation) any other person or entity,</w:t>
      </w:r>
    </w:p>
    <w:p>
      <w:pPr>
        <w:spacing w:after="0" w:line="1" w:lineRule="exact"/>
        <w:rPr>
          <w:sz w:val="20"/>
          <w:szCs w:val="20"/>
          <w:color w:val="auto"/>
        </w:rPr>
      </w:pPr>
    </w:p>
    <w:p>
      <w:pPr>
        <w:jc w:val="both"/>
        <w:ind w:firstLine="8"/>
        <w:spacing w:after="0" w:line="251" w:lineRule="auto"/>
        <w:tabs>
          <w:tab w:leader="none" w:pos="29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shall, directly or indirectly, in one or more related transactions, sell, lease, license, assign, transfer, convey or otherwise dispose of all or substantially all of its respective properties or assets to any other person or entity, (iii) Borrower or any of its subsidiaries shall, directly or indirectly, in one or more related transactions, allow any other person or entity to make a purchase, tender or exchange offer that is accepted by the holders of more than fifty percent (50%) of the outstanding shares of voting stock of Borrower (not including any shares of voting stock of Borrower held by the person or persons making or party to, or associated or affiliated with the persons or entities making or party to, such purchase, tender or exchange offer), (iv) Borrower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fifty percent (50%) of the outstanding shares of voting stock of Borrower (not including any shares of voting stock of Borrower held by the other persons or entities making or party to, or associated or affiliated with the other persons or entities making or party to, such stock or share purchase agreement or other business combination), (v) Borrower or any of its subsidiaries shall, directly or indirectly, in one or more related transactions, reorganize, recapitalize or reclassify the Common Shares or preferred stock, other than an increase in the number of authorized Common Shares, (vi) Borrower transfers any material asset to any subsidiary, affiliate, person or entity under common ownership or control with Borrower, or (vii) Borrower pays or makes any monetary or non-monetary dividend or distribution to its shareholders; or (b) any “person” or “group” (as these terms are used for purposes of Sections 13(d) and 14(d) of the 1934 Act (as defined in the Purchase Agreement) and the rules and regulations promulgated thereunder) is or shall become the “beneficial owner” (as defined in Rule 13d-3 under the 1934 Act), directly or indirectly, of more than fifty percent (50%) of the aggregate ordinary voting power represented by issued and outstanding voting stock of Borrower. For the avoidance of doubt, Borrower or any of its subsidiaries entering into a definitive agreement that contemplates a Fundamental Transaction will be deemed to be a Fundamental Transaction unless such agreement contains a closing condition that this Note is repaid in full upon consummation of the transaction.</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Limited Redemption Event</w:t>
      </w:r>
      <w:r>
        <w:rPr>
          <w:rFonts w:ascii="Times New Roman" w:cs="Times New Roman" w:eastAsia="Times New Roman" w:hAnsi="Times New Roman"/>
          <w:sz w:val="18"/>
          <w:szCs w:val="18"/>
          <w:color w:val="auto"/>
        </w:rPr>
        <w:t>” means that on any given Trading Day the Common Shares trade at a price that is at least fifteen percent (15%) greater than the Nasdaq Minimum Price for such Trading Day.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Limited Redemption Window</w:t>
      </w:r>
      <w:r>
        <w:rPr>
          <w:rFonts w:ascii="Times New Roman" w:cs="Times New Roman" w:eastAsia="Times New Roman" w:hAnsi="Times New Roman"/>
          <w:sz w:val="18"/>
          <w:szCs w:val="18"/>
          <w:color w:val="auto"/>
        </w:rPr>
        <w:t>” means the period beginning on the date a Limited Redemption Event occurs and ending on the date that is five (5) Trading Days after the date the Limited Redemption Event occurs. For the avoidance of doubt, more than one (1) Limited Redemption Window may be open at the same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A5. “</w:t>
      </w:r>
      <w:r>
        <w:rPr>
          <w:rFonts w:ascii="Times New Roman" w:cs="Times New Roman" w:eastAsia="Times New Roman" w:hAnsi="Times New Roman"/>
          <w:sz w:val="18"/>
          <w:szCs w:val="18"/>
          <w:b w:val="1"/>
          <w:bCs w:val="1"/>
          <w:color w:val="auto"/>
        </w:rPr>
        <w:t>Major Trigger Event</w:t>
      </w:r>
      <w:r>
        <w:rPr>
          <w:rFonts w:ascii="Times New Roman" w:cs="Times New Roman" w:eastAsia="Times New Roman" w:hAnsi="Times New Roman"/>
          <w:sz w:val="18"/>
          <w:szCs w:val="18"/>
          <w:color w:val="auto"/>
        </w:rPr>
        <w:t>” means any Trigger Event occurring under Sections 4.1(a) - 4.1(h).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Trigger Effect.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Maximum Limited Redemption Amount</w:t>
      </w:r>
      <w:r>
        <w:rPr>
          <w:rFonts w:ascii="Times New Roman" w:cs="Times New Roman" w:eastAsia="Times New Roman" w:hAnsi="Times New Roman"/>
          <w:sz w:val="18"/>
          <w:szCs w:val="18"/>
          <w:color w:val="auto"/>
        </w:rPr>
        <w:t>” means five percent (5%) of the cumulative daily dollar trading volume on the Trading Day that a Limited Redemption Event occurs; measured as the cumulative dollar trading volume on all exchanges beginning at 4:01 PM Eastern Time on the Trading Day before the occurrence of the Limited Redemption Event and ending at 4:00 PM Eastern Time on the Trading Day during which the Limited Redemption Event occurs.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Minor Trigger Event</w:t>
      </w:r>
      <w:r>
        <w:rPr>
          <w:rFonts w:ascii="Times New Roman" w:cs="Times New Roman" w:eastAsia="Times New Roman" w:hAnsi="Times New Roman"/>
          <w:sz w:val="18"/>
          <w:szCs w:val="18"/>
          <w:color w:val="auto"/>
        </w:rPr>
        <w:t>” means any Trigger Event that is not a Major Trigger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Nasdaq Minimum Price</w:t>
      </w:r>
      <w:r>
        <w:rPr>
          <w:rFonts w:ascii="Times New Roman" w:cs="Times New Roman" w:eastAsia="Times New Roman" w:hAnsi="Times New Roman"/>
          <w:sz w:val="18"/>
          <w:szCs w:val="18"/>
          <w:color w:val="auto"/>
        </w:rPr>
        <w:t>” means the Minimum Price as defined under Nasdaq Rule 5635(d).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A10.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Borrower (or an affiliate), on the one hand, and Lender (or an affiliate), on the other hand, and (b) any financing agreement or a material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offset, or otherwise, plus the accrued but unpaid interest (including Default Interest), collection and enforcements costs (including attorneys’ fees) incurred by Lender, transfer, stamp, issuance and similar taxes and fees incurred under this Note.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$5,000,000.00.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Lender to the Deposit Account.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Borrower’s principal trading market (or such other principal market for the Common Shares) is open for trading.</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Trigger Effect</w:t>
      </w:r>
      <w:r>
        <w:rPr>
          <w:rFonts w:ascii="Times New Roman" w:cs="Times New Roman" w:eastAsia="Times New Roman" w:hAnsi="Times New Roman"/>
          <w:sz w:val="18"/>
          <w:szCs w:val="18"/>
          <w:color w:val="auto"/>
        </w:rPr>
        <w:t>” means multiplying the Outstanding Balance as of the date the applicable Trigger Event occurred by (a) fifteen percent (15%) for each occurrence of any Major Trigger Event, or (b) five percent (5%) for each occurrence of any Minor Trigger Event, and then adding the resulting product to the Outstanding Balance as of the date the applicable Trigger Event occurred, with the sum of the foregoing then becoming the Outstanding Balance under this Note as of the date the applicable Trigger Event occurred; provided that the Trigger Effect may only be applied three (3) times hereunder with respect to Major Trigger Events and three (3) times hereunder with respect to Minor Trigger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94485" cy="497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944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Announces Up to $10 Million Cash Financing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Includes up-front issuance of preferred stock for $2.5 million and secured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promissory notes for $7.72 million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Uniquely structured, flexible financing supports IMUNON’s Highly Anticipated Phase 3 OVATION 3 Study of IMNN-001 in advanced ovarian cancer</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LAWRENCEVILLE, N.J., June 4, 2026 (GLOBE NEWSWIRE) – </w:t>
      </w:r>
      <w:r>
        <w:rPr>
          <w:rFonts w:ascii="Times New Roman" w:cs="Times New Roman" w:eastAsia="Times New Roman" w:hAnsi="Times New Roman"/>
          <w:sz w:val="18"/>
          <w:szCs w:val="18"/>
          <w:b w:val="1"/>
          <w:bCs w:val="1"/>
          <w:u w:val="single" w:color="auto"/>
          <w:color w:val="auto"/>
        </w:rPr>
        <w:t>IMUNON</w:t>
      </w:r>
      <w:r>
        <w:rPr>
          <w:rFonts w:ascii="Times New Roman" w:cs="Times New Roman" w:eastAsia="Times New Roman" w:hAnsi="Times New Roman"/>
          <w:sz w:val="18"/>
          <w:szCs w:val="18"/>
          <w:b w:val="1"/>
          <w:bCs w:val="1"/>
          <w:color w:val="auto"/>
        </w:rPr>
        <w:t>, Inc. (Nasdaq: IMNN)</w:t>
      </w:r>
      <w:r>
        <w:rPr>
          <w:rFonts w:ascii="Times New Roman" w:cs="Times New Roman" w:eastAsia="Times New Roman" w:hAnsi="Times New Roman"/>
          <w:sz w:val="18"/>
          <w:szCs w:val="18"/>
          <w:color w:val="auto"/>
        </w:rPr>
        <w:t>, a clinical-stage company in Phase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with its DNA-mediated immunotherapy, today announced that the Company has entered into definitive agreements with expected aggregate gross proceeds to the Company in the amount of $10 million. The transaction includes 250 shares of non-redeemable, non-convertible preferred stock for $2.5 million and two secured promissory notes in the principal amounts of $2.72 million and $5.0 million. The promissory notes accumulate interest at a rate of 8% and 5%, respectively, per annum and mature 18 months after the issuance date. Interest will be partially offset with interest earned via bank deposit. IMUNON intends to use the net proceeds to support continued enrollment of the pivotal Phase 3 OVATION 3 clinical trial in patients newly diagnosed with advanced ovarian cancer.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recently reported updated Phase 2 clinical data showing continued improvement in median overall survival (OS) in women with newly diagnosed advanced ovarian cancer treated with its investigational therapy IMNN-001 in combination with standard of care (SoC) chemotherapy. The increase in median OS rose from the previously reported 11.1 months to 14.7 months following final data analysis. Patients treated with PARP inhibitors in addition to IMNN-001 and SoC chemotherapy demonstrated median increase in OS of 24.2 months compared to SoC chemotherapy alone.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investor-friendly structured financing avoids the highly dilutive discounts and warrants common to straight equity financings and traditional registered direct offerings. It provides IMUNON with company controlled access to capital needed to achieve our patient enrollment targets in the Phase 3 OVATION 3 study, strengthens our balance sheet, and provides meaningful potential to minimize dilution for existing shareholders. Unlike those conventional approaches, this creative structure does not include warrants and is designed to enhance shareholder value,” said Stacy R. Lindborg, Ph.D., President and Chief Executive Officer of IMUNON. “We believe this financing will improve our equity profile, reduce potential market overhang and lower dilution pressure. This approach is fully consistent with our objective to be shareholder friendly while advancing our Phase 3 trial goals.”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Lindborg added “The final clinical results from our Phase 2 OVATION 2 Study of IMNN-001, demonstrating a 14.7-month extension in median overall survival in treated patients compared to standard of care chemotherapy alone, reinforce our confidence in IMNN-001’s potential to transform care for women with newly diagnosed advanced ovarian cancer. This represents a meaningful and sustained observed clinical benefit with a highly favorable, well-tolerated safety profile in the frontline treatment setting — an area of medicine that has seen very little progress in recent decades. The flexible, shareholder-friendly capital financing now positions us even better to sustain this clinical momentum and complete enrollment in our pivotal Phase 3 OVATION 3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About the Phase 3 OVATION 3 Study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OVATION 3 is an ongoing Phase 3 pivotal study to evaluate the dosing, safety, efficacy and biological activity of intraperitoneal administration of IMNN-001 in combination with neoadjuvant and adjuvant chemotherapy (N/ACT) of paclitaxel and carboplatin in patients newly diagnosed with advanced epithelial ovarian, fallopian tube or primary peritoneal cancer. Treatment in the neoadjuvant period is designed to activate the patient’s immune system to recognize and eliminate tumor cells, while also shrinking the tumor as much as possible for optimal surgical removal after three cycles of chemotherapy. Following N/ACT, patients undergo interval debulking surgery, followed by three additional cycles of adjuvant chemotherapy plus IMNN-001 to further stimulate anti-tumor immunity and treat any residual tumor. This randomized controlled study will enroll 500 patients, who will be randomized 1:1 and evaluated for safety and efficacy to compare N/ACT plus IMNN-001 versus standard-of-care N/ACT. In accordance with the study protocol, patients</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randomized to the IMNN-001 treatment arm can receive up to 17 weekly doses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addition to N/ACT. The primary endpoint of the trial is overall survival. Additional endpoints include objective response rate, chemotherapy response score, surgical response and time to second line therapy. The trial includes two interim analyses for assessment of efficacy, and which could potentially serve as opportunities for early registration. OVATION 3 is currently enrolling at multiple sites throughout the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2 OVATION 2 Study</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OVATION 2 evaluated the dosing, safety, efficacy and biological activity of intraperitoneal administration of IMNN-001 in combination with neoadjuvant and adjuvant chemotherapy (N/ACT) of paclitaxel and carboplatin in patients newly diagnosed with advanced epithelial ovarian, fallopian tube or primary peritoneal cancer. Treatment in the neoadjuvant period is designed to shrink the tumors as much as possible for optimal surgical removal after three cycles of chemotherapy. Following N/ACT, patients undergo interval debulking surgery, followed by three additional cycles of adjuvant chemotherapy to treat any residual tumor. This open-label study enrolled 112 patients who were randomized 1:1 and evaluated for safety and efficacy to compare N/ACT plus IMNN-001 versus standard-of-care N/ACT. In accordance with the study protocol, patients randomized to the IMNN-001 treatment arm could receive up to 17</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weekly doses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addition to N/ACT. As a Phase 2 study, OVATION 2 was not powered for statistical significance. Additional endpoints included objective response rate, chemotherapy response score and surgical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About IMNN-001 Immunotherapy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Designed using IMUNON’s proprietary TheraPlas® platform technology, IMNN-001 is an IL-12 DNA plasmid vector encased in a nanoparticle delivery system that enables cell transfection followed by persistent, local secretion of the IL-12 protein. IL-12 is one of the most active cytokines for the induction of potent anticancer immunity acting through the induction of T-lymphocyte and natural killer cell proliferation. IMUNON previously reported positive safety and encouraging Phase 1 results with IMNN-001 administered as monotherapy or as combination therapy in patients with advanced peritoneally metastasized primary or recurrent ovarian cancer and completed a Phase 1b dose-escalation trial (the OVATION 1 Study) of IMNN-001 in combination with carboplatin and paclitaxel neoadjuvantly in patients with newly diagnosed ovarian cancer. IMUNON previously reported positive results from the</w:t>
      </w:r>
    </w:p>
    <w:p>
      <w:pPr>
        <w:spacing w:after="0" w:line="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Epithelial Ovarian Cancer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Epithelial ovarian cancer is the sixth deadliest malignancy among women in the U.S. There are approximately 20,000 new cases of ovarian cancer every year and approximately 70% are diagnosed in advanced stage III/IV. Epithelial ovarian cancer is characterized by dissemination of tumors in the peritoneal cavity with a high risk of recurrence (75%, stage III/IV) after surgery and chemotherapy. Since the five-year survival rates of patients with stage III/IV disease at diagnosis are poor (41% and 20%, respectively), there remains a need for a therapy that not only reduces the recurrence rate but also improves overall survival. The peritoneal cavity of advanced ovarian cancer patients contains the primary tumor environment and is an attractive target for a regional approach to immune modulation.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IMUNON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is developing its non-viral DNA technology across its modalities. The first modality, TheraPlas®, is developed for the gene-based delivery of cytokines and other therapeutic proteins in the treatment of solid tumors where an immunological approach is deemed promising. The second modality, PlaCCine®, is developed for the gene delivery of viral antigens that can elicit a strong immunological response.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lead clinical program, IMNN-001, is a DNA-based immunotherapy for the localized treatment of advanced ovarian cancer that has completed multiple clinical trials including one Phase 2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 For more information, please visit </w:t>
      </w:r>
      <w:r>
        <w:rPr>
          <w:rFonts w:ascii="Times New Roman" w:cs="Times New Roman" w:eastAsia="Times New Roman" w:hAnsi="Times New Roman"/>
          <w:sz w:val="18"/>
          <w:szCs w:val="18"/>
          <w:b w:val="1"/>
          <w:bCs w:val="1"/>
          <w:u w:val="single" w:color="auto"/>
          <w:color w:val="auto"/>
        </w:rPr>
        <w:t>www.imunon.com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IMUNON wishes to inform readers that forward-looking statements in this release are made pursuant to the “safe harbor” provisions of the Private Securities Litigation Reform Act of 1995. All statements, other than statements of historical fact, including, but not limited to, statements regarding expectations regarding the use of proceeds from the financing, the timing and enrollment of the Company’s clinical trials, the potential of any therapies developed by the Company to fulfill unmet medical needs, the market potential for the Company’s products, if approved, the potential efficacy and safety profile of our product candidates, and the Company’s plans and expectations with respect to its development programs more generally, are forward-looking statements. We generally identify forward-looking statements by using words such as “may,” “will,” “expect,” “plan,” “anticipate,” “estimate,” “intend” and similar expressions (as well as other words or expressions referencing future events, conditions or circumstances). Readers are cautioned that such forward-looking statements involve risks and uncertainties including, without limitation, uncertainties relating to unforeseen changes in the course of research and development activities and in clinical trials, including the fact that interim results are not necessarily indicative of final results; the uncertainties of and difficulties in analyzing interim clinical data; the significant expense, time and risk of failure in conducting clinical trials; the need for IMUNON to evaluate its future development plans; possible actions by customers, suppliers, competitors or regulatory authorities; and other risks detailed from time to time in IMUNON’s filings with the Securities and Exchange Commission. IMUNON assumes no obligation, except to the extent required by law, to update or supplement forward-looking statements that become untrue because of subsequent events, new information or otherwise.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2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3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7620" w:type="dxa"/>
            <w:vAlign w:val="bottom"/>
            <w:gridSpan w:val="3"/>
          </w:tcPr>
          <w:p>
            <w:pPr>
              <w:ind w:left="21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41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Jenna Urban</w:t>
            </w:r>
          </w:p>
        </w:tc>
        <w:tc>
          <w:tcPr>
            <w:tcW w:w="76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Peter Vozzo</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 life</w:t>
            </w:r>
          </w:p>
        </w:tc>
        <w:tc>
          <w:tcPr>
            <w:tcW w:w="76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ICR Healthcare</w:t>
            </w:r>
          </w:p>
        </w:tc>
      </w:t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212-253-8881</w:t>
            </w:r>
          </w:p>
        </w:tc>
        <w:tc>
          <w:tcPr>
            <w:tcW w:w="2140" w:type="dxa"/>
            <w:vAlign w:val="bottom"/>
          </w:tcPr>
          <w:p>
            <w:pPr>
              <w:spacing w:after="0"/>
              <w:rPr>
                <w:sz w:val="18"/>
                <w:szCs w:val="18"/>
                <w:color w:val="auto"/>
              </w:rPr>
            </w:pPr>
          </w:p>
        </w:tc>
        <w:tc>
          <w:tcPr>
            <w:tcW w:w="45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443-213-0505</w:t>
            </w:r>
          </w:p>
        </w:tc>
        <w:tc>
          <w:tcPr>
            <w:tcW w:w="3080" w:type="dxa"/>
            <w:vAlign w:val="bottom"/>
          </w:tcPr>
          <w:p>
            <w:pPr>
              <w:spacing w:after="0"/>
              <w:rPr>
                <w:sz w:val="18"/>
                <w:szCs w:val="18"/>
                <w:color w:val="auto"/>
              </w:rPr>
            </w:pP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jurban@cglife.com</w:t>
            </w:r>
          </w:p>
        </w:tc>
        <w:tc>
          <w:tcPr>
            <w:tcW w:w="7620" w:type="dxa"/>
            <w:vAlign w:val="bottom"/>
            <w:gridSpan w:val="3"/>
          </w:tcPr>
          <w:p>
            <w:pPr>
              <w:ind w:left="2120"/>
              <w:spacing w:after="0" w:line="198" w:lineRule="exact"/>
              <w:rPr>
                <w:sz w:val="20"/>
                <w:szCs w:val="20"/>
                <w:color w:val="auto"/>
              </w:rPr>
            </w:pPr>
            <w:r>
              <w:rPr>
                <w:rFonts w:ascii="Times New Roman" w:cs="Times New Roman" w:eastAsia="Times New Roman" w:hAnsi="Times New Roman"/>
                <w:sz w:val="18"/>
                <w:szCs w:val="18"/>
                <w:b w:val="1"/>
                <w:bCs w:val="1"/>
                <w:color w:val="auto"/>
              </w:rPr>
              <w:t>peter.vozzo@icrhealthcare.com</w:t>
            </w:r>
          </w:p>
        </w:tc>
      </w:tr>
      <w:tr>
        <w:trPr>
          <w:trHeight w:val="453"/>
        </w:trPr>
        <w:tc>
          <w:tcPr>
            <w:tcW w:w="1480" w:type="dxa"/>
            <w:vAlign w:val="bottom"/>
            <w:tcBorders>
              <w:top w:val="single" w:sz="8" w:color="auto"/>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420" w:type="dxa"/>
            <w:vAlign w:val="bottom"/>
            <w:tcBorders>
              <w:top w:val="single" w:sz="8" w:color="auto"/>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lowerLetter"/>
      <w:start w:val="2"/>
    </w:lvl>
  </w:abstractNum>
  <w:abstractNum w:abstractNumId="7">
    <w:nsid w:val="7C3DBD3D"/>
    <w:multiLevelType w:val="hybridMultilevel"/>
    <w:lvl w:ilvl="0">
      <w:lvlJc w:val="left"/>
      <w:lvlText w:val="(%1)"/>
      <w:numFmt w:val="lowerLetter"/>
      <w:start w:val="1"/>
    </w:lvl>
  </w:abstractNum>
  <w:abstractNum w:abstractNumId="8">
    <w:nsid w:val="737B8DDC"/>
    <w:multiLevelType w:val="hybridMultilevel"/>
    <w:lvl w:ilvl="0">
      <w:lvlJc w:val="left"/>
      <w:lvlText w:val="(%1)"/>
      <w:numFmt w:val="lowerLetter"/>
      <w:start w:val="9"/>
    </w:lvl>
  </w:abstractNum>
  <w:abstractNum w:abstractNumId="9">
    <w:nsid w:val="6CEAF087"/>
    <w:multiLevelType w:val="hybridMultilevel"/>
    <w:lvl w:ilvl="0">
      <w:lvlJc w:val="left"/>
      <w:lvlText w:val="(%1)"/>
      <w:numFmt w:val="lowerLetter"/>
      <w:start w:val="1"/>
    </w:lvl>
    <w:lvl w:ilvl="1">
      <w:lvlJc w:val="left"/>
      <w:lvlText w:val="(%2)"/>
      <w:numFmt w:val="lowerRoman"/>
      <w:start w:val="1"/>
    </w:lvl>
  </w:abstractNum>
  <w:abstractNum w:abstractNumId="10">
    <w:nsid w:val="22221A70"/>
    <w:multiLevelType w:val="hybridMultilevel"/>
    <w:lvl w:ilvl="0">
      <w:lvlJc w:val="left"/>
      <w:lvlText w:val="%1"/>
      <w:numFmt w:val="lowerLetter"/>
      <w:start w:val="1"/>
    </w:lvl>
    <w:lvl w:ilvl="1">
      <w:lvlJc w:val="left"/>
      <w:lvlText w:val="(%2)"/>
      <w:numFmt w:val="lowerRoman"/>
      <w:start w:val="4"/>
    </w:lvl>
  </w:abstractNum>
  <w:abstractNum w:abstractNumId="11">
    <w:nsid w:val="4516DDE9"/>
    <w:multiLevelType w:val="hybridMultilevel"/>
    <w:lvl w:ilvl="0">
      <w:lvlJc w:val="left"/>
      <w:lvlText w:val="(%1)"/>
      <w:numFmt w:val="lowerLetter"/>
      <w:start w:val="2"/>
    </w:lvl>
    <w:lvl w:ilvl="1">
      <w:lvlJc w:val="left"/>
      <w:lvlText w:val="%2"/>
      <w:numFmt w:val="lowerRoman"/>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4"/>
    </w:lvl>
  </w:abstractNum>
  <w:abstractNum w:abstractNumId="14">
    <w:nsid w:val="419AC241"/>
    <w:multiLevelType w:val="hybridMultilevel"/>
    <w:lvl w:ilvl="0">
      <w:lvlJc w:val="left"/>
      <w:lvlText w:val="(%1)"/>
      <w:numFmt w:val="lowerLetter"/>
      <w:start w:val="8"/>
    </w:lvl>
  </w:abstractNum>
  <w:abstractNum w:abstractNumId="15">
    <w:nsid w:val="5577F8E1"/>
    <w:multiLevelType w:val="hybridMultilevel"/>
    <w:lvl w:ilvl="0">
      <w:lvlJc w:val="left"/>
      <w:lvlText w:val="(%1)"/>
      <w:numFmt w:val="lowerLetter"/>
      <w:start w:val="12"/>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2"/>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lowerRoman"/>
      <w:start w:val="1"/>
    </w:lvl>
    <w:lvl w:ilvl="1">
      <w:lvlJc w:val="left"/>
      <w:lvlText w:val="%2."/>
      <w:numFmt w:val="decimal"/>
      <w:start w:val="2"/>
    </w:lvl>
  </w:abstractNum>
  <w:abstractNum w:abstractNumId="20">
    <w:nsid w:val="7724C67E"/>
    <w:multiLevelType w:val="hybridMultilevel"/>
    <w:lvl w:ilvl="0">
      <w:lvlJc w:val="left"/>
      <w:lvlText w:val="(%1)"/>
      <w:numFmt w:val="lowerRoman"/>
      <w:start w:val="8"/>
    </w:lvl>
    <w:lvl w:ilvl="1">
      <w:lvlJc w:val="left"/>
      <w:lvlText w:val="%2"/>
      <w:numFmt w:val="decimal"/>
      <w:start w:val="1"/>
    </w:lvl>
  </w:abstractNum>
  <w:abstractNum w:abstractNumId="21">
    <w:nsid w:val="5C482A97"/>
    <w:multiLevelType w:val="hybridMultilevel"/>
    <w:lvl w:ilvl="0">
      <w:lvlJc w:val="left"/>
      <w:lvlText w:val="%1"/>
      <w:numFmt w:val="lowerLetter"/>
      <w:start w:val="1"/>
    </w:lvl>
    <w:lvl w:ilvl="1">
      <w:lvlJc w:val="left"/>
      <w:lvlText w:val="%2."/>
      <w:numFmt w:val="decimal"/>
      <w:start w:val="3"/>
    </w:lvl>
  </w:abstractNum>
  <w:abstractNum w:abstractNumId="22">
    <w:nsid w:val="2463B9EA"/>
    <w:multiLevelType w:val="hybridMultilevel"/>
    <w:lvl w:ilvl="0">
      <w:lvlJc w:val="left"/>
      <w:lvlText w:val="(%1)"/>
      <w:numFmt w:val="lowerLetter"/>
      <w:start w:val="3"/>
    </w:lvl>
    <w:lvl w:ilvl="1">
      <w:lvlJc w:val="left"/>
      <w:lvlText w:val="%2"/>
      <w:numFmt w:val="decimal"/>
      <w:start w:val="1"/>
    </w:lvl>
  </w:abstractNum>
  <w:abstractNum w:abstractNumId="23">
    <w:nsid w:val="5E884ADC"/>
    <w:multiLevelType w:val="hybridMultilevel"/>
    <w:lvl w:ilvl="0">
      <w:lvlJc w:val="left"/>
      <w:lvlText w:val="%1"/>
      <w:numFmt w:val="lowerLetter"/>
      <w:start w:val="1"/>
    </w:lvl>
    <w:lvl w:ilvl="1">
      <w:lvlJc w:val="left"/>
      <w:lvlText w:val="%2."/>
      <w:numFmt w:val="decimal"/>
      <w:start w:val="4"/>
    </w:lvl>
  </w:abstractNum>
  <w:abstractNum w:abstractNumId="24">
    <w:nsid w:val="51EAD36B"/>
    <w:multiLevelType w:val="hybridMultilevel"/>
    <w:lvl w:ilvl="0">
      <w:lvlJc w:val="left"/>
      <w:lvlText w:val="(%1)"/>
      <w:numFmt w:val="lowerLetter"/>
      <w:start w:val="2"/>
    </w:lvl>
    <w:lvl w:ilvl="1">
      <w:lvlJc w:val="left"/>
      <w:lvlText w:val="%2"/>
      <w:numFmt w:val="decimal"/>
      <w:start w:val="1"/>
    </w:lvl>
  </w:abstractNum>
  <w:abstractNum w:abstractNumId="25">
    <w:nsid w:val="2D517796"/>
    <w:multiLevelType w:val="hybridMultilevel"/>
    <w:lvl w:ilvl="0">
      <w:lvlJc w:val="left"/>
      <w:lvlText w:val="%1."/>
      <w:numFmt w:val="decimal"/>
      <w:start w:val="5"/>
    </w:lvl>
  </w:abstractNum>
  <w:abstractNum w:abstractNumId="26">
    <w:nsid w:val="580BD78F"/>
    <w:multiLevelType w:val="hybridMultilevel"/>
    <w:lvl w:ilvl="0">
      <w:lvlJc w:val="left"/>
      <w:lvlText w:val="%1."/>
      <w:numFmt w:val="decimal"/>
      <w:start w:val="6"/>
    </w:lvl>
  </w:abstractNum>
  <w:abstractNum w:abstractNumId="27">
    <w:nsid w:val="153EA438"/>
    <w:multiLevelType w:val="hybridMultilevel"/>
    <w:lvl w:ilvl="0">
      <w:lvlJc w:val="left"/>
      <w:lvlText w:val="%1."/>
      <w:numFmt w:val="decimal"/>
      <w:start w:val="7"/>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lowerLetter"/>
      <w:start w:val="1"/>
    </w:lvl>
    <w:lvl w:ilvl="1">
      <w:lvlJc w:val="left"/>
      <w:lvlText w:val="(%2)"/>
      <w:numFmt w:val="lowerLetter"/>
      <w:start w:val="1"/>
    </w:lvl>
  </w:abstractNum>
  <w:abstractNum w:abstractNumId="30">
    <w:nsid w:val="6A2342EC"/>
    <w:multiLevelType w:val="hybridMultilevel"/>
    <w:lvl w:ilvl="0">
      <w:lvlJc w:val="left"/>
      <w:lvlText w:val="(%1)"/>
      <w:numFmt w:val="lowerLetter"/>
      <w:start w:val="1"/>
    </w:lvl>
    <w:lvl w:ilvl="1">
      <w:lvlJc w:val="left"/>
      <w:lvlText w:val="(%2)"/>
      <w:numFmt w:val="lowerLetter"/>
      <w:start w:val="3"/>
    </w:lvl>
  </w:abstractNum>
  <w:abstractNum w:abstractNumId="31">
    <w:nsid w:val="2A487CB0"/>
    <w:multiLevelType w:val="hybridMultilevel"/>
    <w:lvl w:ilvl="0">
      <w:lvlJc w:val="left"/>
      <w:lvlText w:val="(%1)"/>
      <w:numFmt w:val="lowerLetter"/>
      <w:start w:val="1"/>
    </w:lvl>
    <w:lvl w:ilvl="1">
      <w:lvlJc w:val="left"/>
      <w:lvlText w:val="(%2)"/>
      <w:numFmt w:val="lowerRoman"/>
      <w:start w:val="1"/>
    </w:lvl>
  </w:abstractNum>
  <w:abstractNum w:abstractNumId="32">
    <w:nsid w:val="1D4ED43B"/>
    <w:multiLevelType w:val="hybridMultilevel"/>
    <w:lvl w:ilvl="0">
      <w:lvlJc w:val="left"/>
      <w:lvlText w:val="(%1)"/>
      <w:numFmt w:val="lowerLetter"/>
      <w:start w:val="4"/>
    </w:lvl>
  </w:abstractNum>
  <w:abstractNum w:abstractNumId="33">
    <w:nsid w:val="725A06FB"/>
    <w:multiLevelType w:val="hybridMultilevel"/>
    <w:lvl w:ilvl="0">
      <w:lvlJc w:val="left"/>
      <w:lvlText w:val="(%1)"/>
      <w:numFmt w:val="decimal"/>
      <w:start w:val="120"/>
    </w:lvl>
  </w:abstractNum>
  <w:abstractNum w:abstractNumId="34">
    <w:nsid w:val="2CD89A32"/>
    <w:multiLevelType w:val="hybridMultilevel"/>
    <w:lvl w:ilvl="0">
      <w:lvlJc w:val="left"/>
      <w:lvlText w:val="(%1)"/>
      <w:numFmt w:val="decimal"/>
      <w:start w:val="10"/>
    </w:lvl>
  </w:abstractNum>
  <w:abstractNum w:abstractNumId="35">
    <w:nsid w:val="57E4CCAF"/>
    <w:multiLevelType w:val="hybridMultilevel"/>
    <w:lvl w:ilvl="0">
      <w:lvlJc w:val="left"/>
      <w:lvlText w:val="%1."/>
      <w:numFmt w:val="decimal"/>
      <w:start w:val="5"/>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4"/>
    </w:lvl>
  </w:abstractNum>
  <w:abstractNum w:abstractNumId="38">
    <w:nsid w:val="542289EC"/>
    <w:multiLevelType w:val="hybridMultilevel"/>
    <w:lvl w:ilvl="0">
      <w:lvlJc w:val="left"/>
      <w:lvlText w:val="%1"/>
      <w:numFmt w:val="lowerLetter"/>
      <w:start w:val="1"/>
    </w:lvl>
    <w:lvl w:ilvl="1">
      <w:lvlJc w:val="left"/>
      <w:lvlText w:val="(%2)"/>
      <w:numFmt w:val="lowerLetter"/>
      <w:start w:val="1"/>
    </w:lvl>
  </w:abstractNum>
  <w:abstractNum w:abstractNumId="39">
    <w:nsid w:val="6DE91B18"/>
    <w:multiLevelType w:val="hybridMultilevel"/>
    <w:lvl w:ilvl="0">
      <w:lvlJc w:val="left"/>
      <w:lvlText w:val="(%1)"/>
      <w:numFmt w:val="lowerLetter"/>
      <w:start w:val="9"/>
    </w:lvl>
    <w:lvl w:ilvl="1">
      <w:lvlJc w:val="left"/>
      <w:lvlText w:val="(%2)"/>
      <w:numFmt w:val="lowerLetter"/>
      <w:start w:val="2"/>
    </w:lvl>
  </w:abstractNum>
  <w:abstractNum w:abstractNumId="40">
    <w:nsid w:val="38437FDB"/>
    <w:multiLevelType w:val="hybridMultilevel"/>
    <w:lvl w:ilvl="0">
      <w:lvlJc w:val="left"/>
      <w:lvlText w:val="%1."/>
      <w:numFmt w:val="decimal"/>
      <w:start w:val="6"/>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1."/>
      <w:numFmt w:val="decimal"/>
      <w:start w:val="3"/>
    </w:lvl>
  </w:abstractNum>
  <w:abstractNum w:abstractNumId="44">
    <w:nsid w:val="579478FE"/>
    <w:multiLevelType w:val="hybridMultilevel"/>
    <w:lvl w:ilvl="0">
      <w:lvlJc w:val="left"/>
      <w:lvlText w:val="%1."/>
      <w:numFmt w:val="decimal"/>
      <w:start w:val="4"/>
    </w:lvl>
  </w:abstractNum>
  <w:abstractNum w:abstractNumId="45">
    <w:nsid w:val="749ABB43"/>
    <w:multiLevelType w:val="hybridMultilevel"/>
    <w:lvl w:ilvl="0">
      <w:lvlJc w:val="left"/>
      <w:lvlText w:val="%1."/>
      <w:numFmt w:val="decimal"/>
      <w:start w:val="5"/>
    </w:lvl>
  </w:abstractNum>
  <w:abstractNum w:abstractNumId="46">
    <w:nsid w:val="3DC240FB"/>
    <w:multiLevelType w:val="hybridMultilevel"/>
    <w:lvl w:ilvl="0">
      <w:lvlJc w:val="left"/>
      <w:lvlText w:val="%1."/>
      <w:numFmt w:val="decimal"/>
      <w:start w:val="10"/>
    </w:lvl>
  </w:abstractNum>
  <w:abstractNum w:abstractNumId="47">
    <w:nsid w:val="1BA026FA"/>
    <w:multiLevelType w:val="hybridMultilevel"/>
    <w:lvl w:ilvl="0">
      <w:lvlJc w:val="left"/>
      <w:lvlText w:val="(%1)"/>
      <w:numFmt w:val="lowerRoman"/>
      <w:start w:val="2"/>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lvl w:ilvl="1">
      <w:lvlJc w:val="left"/>
      <w:lvlText w:val="%2."/>
      <w:numFmt w:val="decimal"/>
      <w:start w:val="2"/>
    </w:lvl>
  </w:abstractNum>
  <w:abstractNum w:abstractNumId="50">
    <w:nsid w:val="12E685FB"/>
    <w:multiLevelType w:val="hybridMultilevel"/>
    <w:lvl w:ilvl="0">
      <w:lvlJc w:val="left"/>
      <w:lvlText w:val="(%1)"/>
      <w:numFmt w:val="lowerLetter"/>
      <w:start w:val="1"/>
    </w:lvl>
    <w:lvl w:ilvl="1">
      <w:lvlJc w:val="left"/>
      <w:lvlText w:val="%2."/>
      <w:numFmt w:val="decimal"/>
      <w:start w:val="3"/>
    </w:lvl>
  </w:abstractNum>
  <w:abstractNum w:abstractNumId="51">
    <w:nsid w:val="70C6A529"/>
    <w:multiLevelType w:val="hybridMultilevel"/>
    <w:lvl w:ilvl="0">
      <w:lvlJc w:val="left"/>
      <w:lvlText w:val="%1."/>
      <w:numFmt w:val="decimal"/>
      <w:start w:val="4"/>
    </w:lvl>
  </w:abstractNum>
  <w:abstractNum w:abstractNumId="52">
    <w:nsid w:val="520EEDD1"/>
    <w:multiLevelType w:val="hybridMultilevel"/>
    <w:lvl w:ilvl="0">
      <w:lvlJc w:val="left"/>
      <w:lvlText w:val="%1."/>
      <w:numFmt w:val="decimal"/>
      <w:start w:val="5"/>
    </w:lvl>
  </w:abstractNum>
  <w:abstractNum w:abstractNumId="53">
    <w:nsid w:val="374A3FE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2026-06-04T07:03:55Z</dcterms:created>
  <dcterms:modified xsi:type="dcterms:W3CDTF">2026-06-04T07:03:55Z</dcterms:modified>
</cp:coreProperties>
</file>